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89CE0">
      <w:pPr>
        <w:autoSpaceDE w:val="0"/>
        <w:autoSpaceDN w:val="0"/>
        <w:adjustRightInd w:val="0"/>
        <w:snapToGrid w:val="0"/>
        <w:spacing w:line="360" w:lineRule="auto"/>
        <w:ind w:left="1591" w:leftChars="75" w:hanging="1433" w:hangingChars="446"/>
        <w:rPr>
          <w:rFonts w:ascii="宋体" w:hAnsi="宋体"/>
          <w:b/>
          <w:color w:val="auto"/>
          <w:sz w:val="32"/>
          <w:szCs w:val="32"/>
          <w:highlight w:val="none"/>
        </w:rPr>
      </w:pPr>
      <w:r>
        <w:rPr>
          <w:rFonts w:ascii="宋体" w:hAnsi="宋体"/>
          <w:b/>
          <w:color w:val="auto"/>
          <w:sz w:val="32"/>
          <w:szCs w:val="32"/>
          <w:highlight w:val="none"/>
        </w:rPr>
        <w:t>项目名称：</w:t>
      </w:r>
      <w:r>
        <w:rPr>
          <w:rFonts w:hint="eastAsia" w:ascii="Times New Roman Regular" w:hAnsi="Times New Roman Regular" w:eastAsia="方正仿宋_GBK" w:cs="Times New Roman Regular"/>
          <w:b/>
          <w:bCs/>
          <w:sz w:val="32"/>
        </w:rPr>
        <w:t>渝中区筷子街</w:t>
      </w:r>
      <w:r>
        <w:rPr>
          <w:rFonts w:hint="eastAsia" w:ascii="Times New Roman Regular" w:hAnsi="Times New Roman Regular" w:eastAsia="方正仿宋_GBK" w:cs="Times New Roman Regular"/>
          <w:b/>
          <w:bCs/>
          <w:sz w:val="32"/>
          <w:lang w:val="en-US" w:eastAsia="zh-CN"/>
        </w:rPr>
        <w:t>2号车库道闸服务采购</w:t>
      </w:r>
    </w:p>
    <w:p w14:paraId="41659DAB">
      <w:pPr>
        <w:pStyle w:val="12"/>
        <w:autoSpaceDE w:val="0"/>
        <w:autoSpaceDN w:val="0"/>
        <w:adjustRightInd w:val="0"/>
        <w:snapToGrid w:val="0"/>
        <w:spacing w:line="360" w:lineRule="auto"/>
        <w:rPr>
          <w:rFonts w:ascii="宋体" w:hAnsi="宋体" w:eastAsia="宋体"/>
          <w:color w:val="auto"/>
          <w:szCs w:val="24"/>
          <w:highlight w:val="none"/>
        </w:rPr>
      </w:pPr>
    </w:p>
    <w:p w14:paraId="464D6299">
      <w:pPr>
        <w:rPr>
          <w:rFonts w:ascii="宋体" w:hAnsi="宋体"/>
          <w:color w:val="auto"/>
          <w:highlight w:val="none"/>
        </w:rPr>
      </w:pPr>
    </w:p>
    <w:p w14:paraId="25A382D2">
      <w:pPr>
        <w:autoSpaceDE w:val="0"/>
        <w:autoSpaceDN w:val="0"/>
        <w:adjustRightInd w:val="0"/>
        <w:snapToGrid w:val="0"/>
        <w:spacing w:line="360" w:lineRule="auto"/>
        <w:rPr>
          <w:rFonts w:ascii="宋体" w:hAnsi="宋体"/>
          <w:color w:val="auto"/>
          <w:highlight w:val="none"/>
        </w:rPr>
      </w:pPr>
    </w:p>
    <w:p w14:paraId="58DBA522">
      <w:pPr>
        <w:autoSpaceDE w:val="0"/>
        <w:autoSpaceDN w:val="0"/>
        <w:adjustRightInd w:val="0"/>
        <w:snapToGrid w:val="0"/>
        <w:spacing w:line="360" w:lineRule="auto"/>
        <w:rPr>
          <w:rFonts w:ascii="宋体" w:hAnsi="宋体"/>
          <w:color w:val="auto"/>
          <w:highlight w:val="none"/>
        </w:rPr>
      </w:pPr>
    </w:p>
    <w:p w14:paraId="7744F034">
      <w:pPr>
        <w:autoSpaceDE w:val="0"/>
        <w:autoSpaceDN w:val="0"/>
        <w:adjustRightInd w:val="0"/>
        <w:snapToGrid w:val="0"/>
        <w:spacing w:line="360" w:lineRule="auto"/>
        <w:rPr>
          <w:rFonts w:ascii="宋体" w:hAnsi="宋体"/>
          <w:color w:val="auto"/>
          <w:highlight w:val="none"/>
        </w:rPr>
      </w:pPr>
    </w:p>
    <w:p w14:paraId="70F1A0D2">
      <w:pPr>
        <w:autoSpaceDE w:val="0"/>
        <w:autoSpaceDN w:val="0"/>
        <w:adjustRightInd w:val="0"/>
        <w:snapToGrid w:val="0"/>
        <w:spacing w:line="360" w:lineRule="auto"/>
        <w:rPr>
          <w:rFonts w:ascii="宋体" w:hAnsi="宋体"/>
          <w:color w:val="auto"/>
          <w:highlight w:val="none"/>
        </w:rPr>
      </w:pPr>
    </w:p>
    <w:p w14:paraId="59059041">
      <w:pPr>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文　件</w:t>
      </w:r>
    </w:p>
    <w:p w14:paraId="0F8CF139">
      <w:pPr>
        <w:autoSpaceDE w:val="0"/>
        <w:autoSpaceDN w:val="0"/>
        <w:adjustRightInd w:val="0"/>
        <w:snapToGrid w:val="0"/>
        <w:spacing w:line="360" w:lineRule="auto"/>
        <w:ind w:right="-588" w:rightChars="-280"/>
        <w:jc w:val="center"/>
        <w:rPr>
          <w:rFonts w:ascii="宋体" w:hAnsi="宋体"/>
          <w:b/>
          <w:color w:val="auto"/>
          <w:spacing w:val="8"/>
          <w:sz w:val="28"/>
          <w:szCs w:val="28"/>
          <w:highlight w:val="none"/>
        </w:rPr>
      </w:pPr>
    </w:p>
    <w:p w14:paraId="467095A8">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509EAC1A">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3352A0B6">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235D6B3C">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5E92E2D8">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00582436">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15DC4529">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129B40C9">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21F475C2">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14:paraId="7783BBD1">
      <w:pPr>
        <w:tabs>
          <w:tab w:val="left" w:pos="6219"/>
        </w:tabs>
        <w:autoSpaceDE w:val="0"/>
        <w:autoSpaceDN w:val="0"/>
        <w:adjustRightInd w:val="0"/>
        <w:snapToGrid w:val="0"/>
        <w:spacing w:line="480" w:lineRule="auto"/>
        <w:jc w:val="center"/>
        <w:rPr>
          <w:rFonts w:ascii="宋体" w:hAnsi="宋体"/>
          <w:b/>
          <w:color w:val="auto"/>
          <w:kern w:val="0"/>
          <w:sz w:val="32"/>
          <w:szCs w:val="32"/>
          <w:highlight w:val="none"/>
        </w:rPr>
      </w:pPr>
    </w:p>
    <w:p w14:paraId="72E176E0">
      <w:pPr>
        <w:tabs>
          <w:tab w:val="left" w:pos="6219"/>
        </w:tabs>
        <w:autoSpaceDE w:val="0"/>
        <w:autoSpaceDN w:val="0"/>
        <w:adjustRightInd w:val="0"/>
        <w:snapToGrid w:val="0"/>
        <w:spacing w:line="480" w:lineRule="auto"/>
        <w:ind w:firstLine="790" w:firstLineChars="246"/>
        <w:rPr>
          <w:rFonts w:hint="eastAsia" w:ascii="宋体" w:hAnsi="宋体" w:eastAsia="宋体"/>
          <w:b/>
          <w:color w:val="auto"/>
          <w:kern w:val="0"/>
          <w:sz w:val="32"/>
          <w:szCs w:val="32"/>
          <w:highlight w:val="none"/>
          <w:lang w:eastAsia="zh-CN"/>
        </w:rPr>
      </w:pPr>
      <w:r>
        <w:rPr>
          <w:rFonts w:hint="eastAsia" w:ascii="宋体" w:hAnsi="宋体"/>
          <w:b/>
          <w:color w:val="auto"/>
          <w:kern w:val="0"/>
          <w:sz w:val="32"/>
          <w:szCs w:val="32"/>
          <w:highlight w:val="none"/>
        </w:rPr>
        <w:t>比</w:t>
      </w:r>
      <w:r>
        <w:rPr>
          <w:rFonts w:ascii="宋体" w:hAnsi="宋体"/>
          <w:b/>
          <w:color w:val="auto"/>
          <w:kern w:val="0"/>
          <w:sz w:val="32"/>
          <w:szCs w:val="32"/>
          <w:highlight w:val="none"/>
        </w:rPr>
        <w:t xml:space="preserve">    </w:t>
      </w:r>
      <w:r>
        <w:rPr>
          <w:rFonts w:hint="eastAsia" w:ascii="宋体" w:hAnsi="宋体"/>
          <w:b/>
          <w:color w:val="auto"/>
          <w:kern w:val="0"/>
          <w:sz w:val="32"/>
          <w:szCs w:val="32"/>
          <w:highlight w:val="none"/>
        </w:rPr>
        <w:t>选</w:t>
      </w:r>
      <w:r>
        <w:rPr>
          <w:rFonts w:ascii="宋体" w:hAnsi="宋体"/>
          <w:b/>
          <w:color w:val="auto"/>
          <w:kern w:val="0"/>
          <w:sz w:val="32"/>
          <w:szCs w:val="32"/>
          <w:highlight w:val="none"/>
        </w:rPr>
        <w:t xml:space="preserve">   人：</w:t>
      </w:r>
      <w:r>
        <w:rPr>
          <w:rFonts w:hint="eastAsia" w:ascii="宋体" w:hAnsi="宋体"/>
          <w:b/>
          <w:color w:val="auto"/>
          <w:kern w:val="0"/>
          <w:sz w:val="32"/>
          <w:szCs w:val="32"/>
          <w:highlight w:val="none"/>
          <w:u w:val="single"/>
          <w:lang w:eastAsia="zh-CN"/>
        </w:rPr>
        <w:t>中国四联仪器仪表集团有限公司重庆分公司</w:t>
      </w:r>
    </w:p>
    <w:p w14:paraId="0A7D5DFE">
      <w:pPr>
        <w:autoSpaceDE w:val="0"/>
        <w:autoSpaceDN w:val="0"/>
        <w:adjustRightInd w:val="0"/>
        <w:snapToGrid w:val="0"/>
        <w:spacing w:line="360" w:lineRule="auto"/>
        <w:jc w:val="center"/>
        <w:rPr>
          <w:rFonts w:ascii="宋体" w:hAnsi="宋体"/>
          <w:b/>
          <w:color w:val="auto"/>
          <w:kern w:val="0"/>
          <w:sz w:val="28"/>
          <w:szCs w:val="28"/>
          <w:highlight w:val="none"/>
        </w:rPr>
      </w:pPr>
      <w:r>
        <w:rPr>
          <w:rFonts w:ascii="宋体" w:hAnsi="宋体"/>
          <w:b/>
          <w:color w:val="auto"/>
          <w:spacing w:val="8"/>
          <w:kern w:val="0"/>
          <w:sz w:val="32"/>
          <w:szCs w:val="32"/>
          <w:highlight w:val="none"/>
        </w:rPr>
        <w:t xml:space="preserve"> </w:t>
      </w:r>
    </w:p>
    <w:p w14:paraId="1968D15C">
      <w:pPr>
        <w:autoSpaceDE w:val="0"/>
        <w:autoSpaceDN w:val="0"/>
        <w:adjustRightInd w:val="0"/>
        <w:snapToGrid w:val="0"/>
        <w:spacing w:line="360" w:lineRule="auto"/>
        <w:jc w:val="center"/>
        <w:rPr>
          <w:rFonts w:ascii="宋体" w:hAnsi="宋体"/>
          <w:b/>
          <w:color w:val="000000"/>
          <w:kern w:val="0"/>
          <w:sz w:val="24"/>
          <w:highlight w:val="none"/>
        </w:rPr>
        <w:sectPr>
          <w:headerReference r:id="rId3" w:type="default"/>
          <w:pgSz w:w="11906" w:h="16838"/>
          <w:pgMar w:top="1134" w:right="1134" w:bottom="1134" w:left="1134" w:header="720" w:footer="720" w:gutter="0"/>
          <w:pgNumType w:start="1"/>
          <w:cols w:space="720" w:num="1"/>
          <w:docGrid w:linePitch="286" w:charSpace="0"/>
        </w:sectPr>
      </w:pPr>
      <w:r>
        <w:rPr>
          <w:rFonts w:hint="eastAsia" w:ascii="宋体" w:hAnsi="宋体"/>
          <w:b/>
          <w:color w:val="auto"/>
          <w:kern w:val="0"/>
          <w:sz w:val="28"/>
          <w:szCs w:val="28"/>
          <w:highlight w:val="none"/>
        </w:rPr>
        <w:t>二〇二</w:t>
      </w:r>
      <w:r>
        <w:rPr>
          <w:rFonts w:hint="eastAsia" w:ascii="宋体" w:hAnsi="宋体"/>
          <w:b/>
          <w:color w:val="auto"/>
          <w:kern w:val="0"/>
          <w:sz w:val="28"/>
          <w:szCs w:val="28"/>
          <w:highlight w:val="none"/>
          <w:lang w:val="en-US" w:eastAsia="zh-CN"/>
        </w:rPr>
        <w:t>五</w:t>
      </w:r>
      <w:r>
        <w:rPr>
          <w:rFonts w:hint="eastAsia" w:ascii="宋体" w:hAnsi="宋体"/>
          <w:b/>
          <w:color w:val="auto"/>
          <w:kern w:val="0"/>
          <w:sz w:val="28"/>
          <w:szCs w:val="28"/>
          <w:highlight w:val="none"/>
        </w:rPr>
        <w:t>年</w:t>
      </w:r>
      <w:r>
        <w:rPr>
          <w:rFonts w:hint="eastAsia" w:ascii="宋体" w:hAnsi="宋体"/>
          <w:b/>
          <w:color w:val="auto"/>
          <w:kern w:val="0"/>
          <w:sz w:val="28"/>
          <w:szCs w:val="28"/>
          <w:highlight w:val="none"/>
          <w:lang w:val="en-US" w:eastAsia="zh-CN"/>
        </w:rPr>
        <w:t>八</w:t>
      </w:r>
      <w:r>
        <w:rPr>
          <w:rFonts w:hint="eastAsia" w:ascii="宋体" w:hAnsi="宋体"/>
          <w:b/>
          <w:color w:val="auto"/>
          <w:kern w:val="0"/>
          <w:sz w:val="28"/>
          <w:szCs w:val="28"/>
          <w:highlight w:val="none"/>
        </w:rPr>
        <w:t>月</w:t>
      </w:r>
    </w:p>
    <w:p w14:paraId="5CA61564">
      <w:pPr>
        <w:pStyle w:val="2"/>
        <w:adjustRightInd w:val="0"/>
        <w:snapToGrid w:val="0"/>
        <w:spacing w:line="240" w:lineRule="auto"/>
        <w:jc w:val="center"/>
        <w:rPr>
          <w:rFonts w:ascii="宋体" w:hAnsi="宋体"/>
          <w:color w:val="auto"/>
          <w:sz w:val="32"/>
          <w:szCs w:val="32"/>
          <w:highlight w:val="none"/>
        </w:rPr>
      </w:pPr>
      <w:bookmarkStart w:id="0" w:name="_Toc432171174"/>
      <w:r>
        <w:rPr>
          <w:rFonts w:ascii="宋体" w:hAnsi="宋体"/>
          <w:color w:val="auto"/>
          <w:sz w:val="32"/>
          <w:szCs w:val="32"/>
          <w:highlight w:val="none"/>
        </w:rPr>
        <w:t xml:space="preserve">第一章  </w:t>
      </w:r>
      <w:r>
        <w:rPr>
          <w:rFonts w:hint="eastAsia" w:ascii="宋体" w:hAnsi="宋体"/>
          <w:color w:val="auto"/>
          <w:sz w:val="32"/>
          <w:szCs w:val="32"/>
          <w:highlight w:val="none"/>
        </w:rPr>
        <w:t>比选</w:t>
      </w:r>
      <w:r>
        <w:rPr>
          <w:rFonts w:ascii="宋体" w:hAnsi="宋体"/>
          <w:color w:val="auto"/>
          <w:sz w:val="32"/>
          <w:szCs w:val="32"/>
          <w:highlight w:val="none"/>
        </w:rPr>
        <w:t>公告</w:t>
      </w:r>
      <w:bookmarkEnd w:id="0"/>
    </w:p>
    <w:p w14:paraId="119E472C">
      <w:pPr>
        <w:adjustRightInd w:val="0"/>
        <w:snapToGrid w:val="0"/>
        <w:spacing w:line="360" w:lineRule="auto"/>
        <w:rPr>
          <w:rFonts w:ascii="宋体" w:hAnsi="宋体"/>
          <w:b/>
          <w:color w:val="auto"/>
          <w:szCs w:val="21"/>
          <w:highlight w:val="none"/>
        </w:rPr>
      </w:pPr>
      <w:bookmarkStart w:id="1" w:name="_Toc200359238"/>
      <w:bookmarkStart w:id="2" w:name="_Toc295409215"/>
      <w:bookmarkStart w:id="3" w:name="_Toc342244951"/>
      <w:bookmarkStart w:id="4" w:name="_Toc335745329"/>
      <w:bookmarkStart w:id="5" w:name="_Toc200359427"/>
      <w:bookmarkStart w:id="6" w:name="_Toc347232056"/>
      <w:r>
        <w:rPr>
          <w:rFonts w:ascii="宋体" w:hAnsi="宋体"/>
          <w:b/>
          <w:color w:val="auto"/>
          <w:szCs w:val="21"/>
          <w:highlight w:val="none"/>
        </w:rPr>
        <w:t>一、</w:t>
      </w:r>
      <w:r>
        <w:rPr>
          <w:rFonts w:hint="eastAsia" w:ascii="宋体" w:hAnsi="宋体"/>
          <w:b/>
          <w:color w:val="auto"/>
          <w:szCs w:val="21"/>
          <w:highlight w:val="none"/>
        </w:rPr>
        <w:t>比选</w:t>
      </w:r>
      <w:r>
        <w:rPr>
          <w:rFonts w:ascii="宋体" w:hAnsi="宋体"/>
          <w:b/>
          <w:color w:val="auto"/>
          <w:szCs w:val="21"/>
          <w:highlight w:val="none"/>
        </w:rPr>
        <w:t>条件</w:t>
      </w:r>
      <w:bookmarkEnd w:id="1"/>
      <w:bookmarkEnd w:id="2"/>
      <w:bookmarkEnd w:id="3"/>
      <w:bookmarkEnd w:id="4"/>
      <w:bookmarkEnd w:id="5"/>
      <w:bookmarkEnd w:id="6"/>
    </w:p>
    <w:p w14:paraId="51B43FAC">
      <w:pPr>
        <w:adjustRightInd w:val="0"/>
        <w:snapToGrid w:val="0"/>
        <w:spacing w:line="360" w:lineRule="auto"/>
        <w:ind w:firstLine="420" w:firstLineChars="200"/>
        <w:rPr>
          <w:rFonts w:ascii="宋体" w:hAnsi="宋体"/>
          <w:bCs/>
          <w:color w:val="auto"/>
          <w:szCs w:val="21"/>
          <w:highlight w:val="none"/>
        </w:rPr>
      </w:pPr>
      <w:bookmarkStart w:id="7" w:name="_Toc335745330"/>
      <w:bookmarkStart w:id="8" w:name="_Toc295409216"/>
      <w:bookmarkStart w:id="9" w:name="_Toc347232057"/>
      <w:bookmarkStart w:id="10" w:name="_Toc200359239"/>
      <w:bookmarkStart w:id="11" w:name="_Toc342244952"/>
      <w:bookmarkStart w:id="12" w:name="_Toc200359428"/>
      <w:r>
        <w:rPr>
          <w:rFonts w:hint="eastAsia" w:ascii="宋体" w:hAnsi="宋体"/>
          <w:bCs/>
          <w:color w:val="auto"/>
          <w:szCs w:val="21"/>
          <w:highlight w:val="none"/>
          <w:lang w:eastAsia="zh-CN"/>
        </w:rPr>
        <w:t>中国四联仪器仪表集团</w:t>
      </w:r>
      <w:r>
        <w:rPr>
          <w:rFonts w:hint="eastAsia" w:ascii="宋体" w:hAnsi="宋体" w:eastAsia="宋体" w:cs="Times New Roman"/>
          <w:bCs/>
          <w:color w:val="auto"/>
          <w:szCs w:val="21"/>
          <w:highlight w:val="none"/>
          <w:lang w:eastAsia="zh-CN"/>
        </w:rPr>
        <w:t>有限公司重庆分公司</w:t>
      </w:r>
      <w:r>
        <w:rPr>
          <w:rFonts w:hint="eastAsia" w:ascii="宋体" w:hAnsi="宋体" w:eastAsia="宋体" w:cs="Times New Roman"/>
          <w:bCs/>
          <w:color w:val="auto"/>
          <w:szCs w:val="21"/>
          <w:highlight w:val="none"/>
        </w:rPr>
        <w:t>（以下简称“</w:t>
      </w:r>
      <w:r>
        <w:rPr>
          <w:rFonts w:hint="eastAsia" w:ascii="宋体" w:hAnsi="宋体" w:eastAsia="宋体" w:cs="Times New Roman"/>
          <w:bCs/>
          <w:color w:val="auto"/>
          <w:szCs w:val="21"/>
          <w:highlight w:val="none"/>
          <w:lang w:eastAsia="zh-CN"/>
        </w:rPr>
        <w:t>四联集团重分公司</w:t>
      </w:r>
      <w:r>
        <w:rPr>
          <w:rFonts w:hint="eastAsia" w:ascii="宋体" w:hAnsi="宋体" w:eastAsia="宋体" w:cs="Times New Roman"/>
          <w:bCs/>
          <w:color w:val="auto"/>
          <w:szCs w:val="21"/>
          <w:highlight w:val="none"/>
        </w:rPr>
        <w:t>”）需第三方</w:t>
      </w:r>
      <w:r>
        <w:rPr>
          <w:rFonts w:hint="eastAsia" w:ascii="宋体" w:hAnsi="宋体" w:eastAsia="宋体" w:cs="Times New Roman"/>
          <w:bCs/>
          <w:color w:val="auto"/>
          <w:szCs w:val="21"/>
          <w:highlight w:val="none"/>
          <w:lang w:val="en-US" w:eastAsia="zh-CN"/>
        </w:rPr>
        <w:t>中介机构对渝中区筷子街2号车库</w:t>
      </w:r>
      <w:r>
        <w:rPr>
          <w:rFonts w:hint="eastAsia" w:ascii="宋体" w:hAnsi="宋体" w:eastAsia="宋体" w:cs="Times New Roman"/>
          <w:bCs/>
          <w:color w:val="auto"/>
          <w:szCs w:val="21"/>
          <w:highlight w:val="none"/>
        </w:rPr>
        <w:t>提供</w:t>
      </w:r>
      <w:r>
        <w:rPr>
          <w:rFonts w:hint="eastAsia" w:ascii="宋体" w:hAnsi="宋体" w:eastAsia="宋体" w:cs="Times New Roman"/>
          <w:bCs/>
          <w:color w:val="auto"/>
          <w:sz w:val="21"/>
          <w:szCs w:val="21"/>
          <w:highlight w:val="none"/>
        </w:rPr>
        <w:t>实现无人值守综合管理运营平台全托管服务模式要求，满足无人值守综合管理运营平台全托管服务模式要求。</w:t>
      </w:r>
      <w:r>
        <w:rPr>
          <w:rFonts w:hint="eastAsia" w:ascii="宋体" w:hAnsi="宋体"/>
          <w:bCs/>
          <w:color w:val="auto"/>
          <w:szCs w:val="21"/>
          <w:highlight w:val="none"/>
        </w:rPr>
        <w:t>比选人为</w:t>
      </w:r>
      <w:r>
        <w:rPr>
          <w:rFonts w:hint="eastAsia" w:ascii="宋体" w:hAnsi="宋体"/>
          <w:bCs/>
          <w:color w:val="auto"/>
          <w:szCs w:val="21"/>
          <w:highlight w:val="none"/>
          <w:lang w:eastAsia="zh-CN"/>
        </w:rPr>
        <w:t>四联集团重分公司</w:t>
      </w:r>
      <w:r>
        <w:rPr>
          <w:rFonts w:hint="eastAsia" w:ascii="宋体" w:hAnsi="宋体"/>
          <w:bCs/>
          <w:color w:val="auto"/>
          <w:szCs w:val="21"/>
          <w:highlight w:val="none"/>
        </w:rPr>
        <w:t>。服务项目已具备比选条件，现对该服务项目</w:t>
      </w:r>
      <w:r>
        <w:rPr>
          <w:rFonts w:ascii="宋体" w:hAnsi="宋体"/>
          <w:bCs/>
          <w:color w:val="auto"/>
          <w:szCs w:val="21"/>
          <w:highlight w:val="none"/>
        </w:rPr>
        <w:t>的供方</w:t>
      </w:r>
      <w:r>
        <w:rPr>
          <w:rFonts w:hint="eastAsia" w:ascii="宋体" w:hAnsi="宋体"/>
          <w:bCs/>
          <w:color w:val="auto"/>
          <w:szCs w:val="21"/>
          <w:highlight w:val="none"/>
        </w:rPr>
        <w:t>进行比选。</w:t>
      </w:r>
    </w:p>
    <w:p w14:paraId="029AE692">
      <w:pPr>
        <w:adjustRightInd w:val="0"/>
        <w:snapToGrid w:val="0"/>
        <w:spacing w:line="360" w:lineRule="auto"/>
        <w:rPr>
          <w:rFonts w:ascii="宋体" w:hAnsi="宋体"/>
          <w:b/>
          <w:color w:val="auto"/>
          <w:szCs w:val="21"/>
          <w:highlight w:val="none"/>
        </w:rPr>
      </w:pPr>
      <w:r>
        <w:rPr>
          <w:rFonts w:ascii="宋体" w:hAnsi="宋体"/>
          <w:b/>
          <w:color w:val="auto"/>
          <w:szCs w:val="21"/>
          <w:highlight w:val="none"/>
        </w:rPr>
        <w:t>二、项目概况与</w:t>
      </w:r>
      <w:r>
        <w:rPr>
          <w:rFonts w:hint="eastAsia" w:ascii="宋体" w:hAnsi="宋体"/>
          <w:b/>
          <w:color w:val="auto"/>
          <w:szCs w:val="21"/>
          <w:highlight w:val="none"/>
        </w:rPr>
        <w:t>比选</w:t>
      </w:r>
      <w:r>
        <w:rPr>
          <w:rFonts w:ascii="宋体" w:hAnsi="宋体"/>
          <w:b/>
          <w:color w:val="auto"/>
          <w:szCs w:val="21"/>
          <w:highlight w:val="none"/>
        </w:rPr>
        <w:t>范围</w:t>
      </w:r>
      <w:bookmarkEnd w:id="7"/>
      <w:bookmarkEnd w:id="8"/>
      <w:bookmarkEnd w:id="9"/>
      <w:bookmarkEnd w:id="10"/>
      <w:bookmarkEnd w:id="11"/>
      <w:bookmarkEnd w:id="12"/>
    </w:p>
    <w:p w14:paraId="74D69EBB">
      <w:pPr>
        <w:adjustRightInd w:val="0"/>
        <w:snapToGrid w:val="0"/>
        <w:spacing w:line="360" w:lineRule="auto"/>
        <w:ind w:firstLine="420" w:firstLineChars="200"/>
        <w:rPr>
          <w:rFonts w:ascii="宋体" w:hAnsi="宋体"/>
          <w:color w:val="auto"/>
          <w:szCs w:val="21"/>
          <w:highlight w:val="none"/>
        </w:rPr>
      </w:pPr>
      <w:bookmarkStart w:id="13" w:name="_Toc347232058"/>
      <w:bookmarkStart w:id="14" w:name="_Toc200359429"/>
      <w:bookmarkStart w:id="15" w:name="_Toc200359240"/>
      <w:bookmarkStart w:id="16" w:name="_Toc342244953"/>
      <w:bookmarkStart w:id="17" w:name="_Toc335745331"/>
      <w:bookmarkStart w:id="18" w:name="_Toc295409217"/>
      <w:r>
        <w:rPr>
          <w:rFonts w:hint="eastAsia" w:ascii="宋体" w:hAnsi="宋体"/>
          <w:color w:val="auto"/>
          <w:szCs w:val="21"/>
          <w:highlight w:val="none"/>
        </w:rPr>
        <w:t>服务项目</w:t>
      </w:r>
      <w:r>
        <w:rPr>
          <w:rFonts w:ascii="宋体" w:hAnsi="宋体"/>
          <w:color w:val="auto"/>
          <w:szCs w:val="21"/>
          <w:highlight w:val="none"/>
        </w:rPr>
        <w:t>：</w:t>
      </w:r>
    </w:p>
    <w:p w14:paraId="6247FD78">
      <w:pPr>
        <w:adjustRightInd w:val="0"/>
        <w:snapToGrid w:val="0"/>
        <w:spacing w:line="360" w:lineRule="auto"/>
        <w:ind w:firstLine="420" w:firstLineChars="200"/>
        <w:rPr>
          <w:rFonts w:hint="eastAsia" w:ascii="宋体" w:hAnsi="宋体"/>
          <w:b w:val="0"/>
          <w:bCs/>
          <w:szCs w:val="21"/>
          <w:highlight w:val="none"/>
        </w:rPr>
      </w:pPr>
      <w:r>
        <w:rPr>
          <w:rFonts w:hint="eastAsia" w:ascii="宋体" w:hAnsi="宋体"/>
          <w:b w:val="0"/>
          <w:bCs/>
          <w:szCs w:val="21"/>
          <w:highlight w:val="none"/>
        </w:rPr>
        <w:t>1.停车硬件系统改造升级：对现有车场进出口进行全面升级改造，能够对各种车牌进行识别，支持无牌车扫码通行，支持扫描支付停车费，可实时监控出入口通道运营情况。</w:t>
      </w:r>
    </w:p>
    <w:p w14:paraId="2A8932A2">
      <w:pPr>
        <w:adjustRightInd w:val="0"/>
        <w:snapToGrid w:val="0"/>
        <w:spacing w:line="360" w:lineRule="auto"/>
        <w:ind w:firstLine="420" w:firstLineChars="200"/>
        <w:rPr>
          <w:rFonts w:hint="eastAsia" w:ascii="宋体" w:hAnsi="宋体"/>
          <w:b w:val="0"/>
          <w:bCs/>
          <w:szCs w:val="21"/>
          <w:highlight w:val="none"/>
        </w:rPr>
      </w:pPr>
      <w:r>
        <w:rPr>
          <w:rFonts w:hint="eastAsia" w:ascii="宋体" w:hAnsi="宋体"/>
          <w:b w:val="0"/>
          <w:bCs/>
          <w:szCs w:val="21"/>
          <w:highlight w:val="none"/>
        </w:rPr>
        <w:t>2.停车场停车平台建设：实现所有车场业务管理、审批管理、车场管理、财务管理等。</w:t>
      </w:r>
    </w:p>
    <w:p w14:paraId="6B5A2D70">
      <w:pPr>
        <w:adjustRightInd w:val="0"/>
        <w:snapToGrid w:val="0"/>
        <w:spacing w:line="360" w:lineRule="auto"/>
        <w:ind w:firstLine="420" w:firstLineChars="200"/>
        <w:rPr>
          <w:rFonts w:hint="eastAsia" w:ascii="宋体" w:hAnsi="宋体"/>
          <w:b w:val="0"/>
          <w:bCs/>
          <w:szCs w:val="21"/>
          <w:highlight w:val="none"/>
        </w:rPr>
      </w:pPr>
      <w:r>
        <w:rPr>
          <w:rFonts w:hint="eastAsia" w:ascii="宋体" w:hAnsi="宋体"/>
          <w:b w:val="0"/>
          <w:bCs/>
          <w:szCs w:val="21"/>
          <w:highlight w:val="none"/>
        </w:rPr>
        <w:t>3.无人值守监管平台建设：实现所有车场集约化管理，支持远程抬杆、远程呼叫对讲，车牌校正、场景监控、异常处理等。</w:t>
      </w:r>
    </w:p>
    <w:p w14:paraId="0E7BC505">
      <w:pPr>
        <w:adjustRightInd w:val="0"/>
        <w:snapToGrid w:val="0"/>
        <w:spacing w:line="360" w:lineRule="auto"/>
        <w:ind w:firstLine="420" w:firstLineChars="200"/>
        <w:rPr>
          <w:rFonts w:hint="eastAsia" w:ascii="宋体" w:hAnsi="宋体"/>
          <w:b w:val="0"/>
          <w:bCs/>
          <w:szCs w:val="21"/>
          <w:highlight w:val="none"/>
        </w:rPr>
      </w:pPr>
      <w:r>
        <w:rPr>
          <w:rFonts w:hint="eastAsia" w:ascii="宋体" w:hAnsi="宋体"/>
          <w:b w:val="0"/>
          <w:bCs/>
          <w:szCs w:val="21"/>
          <w:highlight w:val="none"/>
        </w:rPr>
        <w:t>4.前端停车场管理系统建设：支持断网断电人工收费。</w:t>
      </w:r>
    </w:p>
    <w:p w14:paraId="18D51786">
      <w:pPr>
        <w:adjustRightInd w:val="0"/>
        <w:snapToGrid w:val="0"/>
        <w:spacing w:line="360" w:lineRule="auto"/>
        <w:ind w:firstLine="420" w:firstLineChars="200"/>
        <w:rPr>
          <w:rFonts w:hint="eastAsia" w:ascii="宋体" w:hAnsi="宋体"/>
          <w:b w:val="0"/>
          <w:bCs/>
          <w:szCs w:val="21"/>
          <w:highlight w:val="none"/>
        </w:rPr>
      </w:pPr>
      <w:r>
        <w:rPr>
          <w:rFonts w:hint="eastAsia" w:ascii="宋体" w:hAnsi="宋体"/>
          <w:b w:val="0"/>
          <w:bCs/>
          <w:szCs w:val="21"/>
          <w:highlight w:val="none"/>
        </w:rPr>
        <w:t>5.车道级视频结构化升级：实现车道远程监控、异常事件识别、车辆行为检测（包含但不限于倒车事件、滞留事件、跟车事件）等功能（以第三方授权机构出具的检验报告复印件作为考评依据，并加盖投标人公章）。</w:t>
      </w:r>
    </w:p>
    <w:p w14:paraId="156DF603">
      <w:pPr>
        <w:adjustRightInd w:val="0"/>
        <w:snapToGrid w:val="0"/>
        <w:spacing w:line="360" w:lineRule="auto"/>
        <w:ind w:firstLine="420" w:firstLineChars="200"/>
        <w:rPr>
          <w:rFonts w:hint="default" w:ascii="宋体" w:hAnsi="宋体" w:eastAsia="宋体"/>
          <w:b w:val="0"/>
          <w:bCs/>
          <w:szCs w:val="21"/>
          <w:highlight w:val="none"/>
          <w:lang w:val="en-US" w:eastAsia="zh-CN"/>
        </w:rPr>
      </w:pPr>
      <w:r>
        <w:rPr>
          <w:rFonts w:hint="eastAsia" w:ascii="宋体" w:hAnsi="宋体"/>
          <w:b w:val="0"/>
          <w:bCs/>
          <w:szCs w:val="21"/>
          <w:highlight w:val="none"/>
          <w:lang w:val="en-US" w:eastAsia="zh-CN"/>
        </w:rPr>
        <w:t>6.其他具体服务内容及要求，详见第二章比选须知。</w:t>
      </w:r>
    </w:p>
    <w:p w14:paraId="7B035059">
      <w:pPr>
        <w:adjustRightInd w:val="0"/>
        <w:snapToGrid w:val="0"/>
        <w:spacing w:line="360" w:lineRule="auto"/>
        <w:rPr>
          <w:rFonts w:ascii="宋体" w:hAnsi="宋体"/>
          <w:b/>
          <w:szCs w:val="21"/>
          <w:highlight w:val="none"/>
        </w:rPr>
      </w:pPr>
      <w:r>
        <w:rPr>
          <w:rFonts w:ascii="宋体" w:hAnsi="宋体"/>
          <w:b/>
          <w:szCs w:val="21"/>
          <w:highlight w:val="none"/>
        </w:rPr>
        <w:t>三、</w:t>
      </w:r>
      <w:r>
        <w:rPr>
          <w:rFonts w:hint="eastAsia" w:ascii="宋体" w:hAnsi="宋体"/>
          <w:b/>
          <w:szCs w:val="21"/>
          <w:highlight w:val="none"/>
        </w:rPr>
        <w:t>比选申请</w:t>
      </w:r>
      <w:r>
        <w:rPr>
          <w:rFonts w:ascii="宋体" w:hAnsi="宋体"/>
          <w:b/>
          <w:szCs w:val="21"/>
          <w:highlight w:val="none"/>
        </w:rPr>
        <w:t>人资格要求</w:t>
      </w:r>
      <w:bookmarkEnd w:id="13"/>
      <w:bookmarkEnd w:id="14"/>
      <w:bookmarkEnd w:id="15"/>
      <w:bookmarkEnd w:id="16"/>
      <w:bookmarkEnd w:id="17"/>
      <w:bookmarkEnd w:id="18"/>
    </w:p>
    <w:p w14:paraId="60863513">
      <w:pPr>
        <w:adjustRightInd w:val="0"/>
        <w:snapToGrid w:val="0"/>
        <w:spacing w:line="360" w:lineRule="auto"/>
        <w:ind w:firstLine="420" w:firstLineChars="200"/>
        <w:rPr>
          <w:rFonts w:ascii="宋体" w:hAnsi="宋体"/>
          <w:szCs w:val="21"/>
          <w:highlight w:val="none"/>
        </w:rPr>
      </w:pPr>
      <w:bookmarkStart w:id="19" w:name="_Toc335745332"/>
      <w:bookmarkStart w:id="20" w:name="_Toc342244954"/>
      <w:bookmarkStart w:id="21" w:name="_Toc347232059"/>
      <w:bookmarkStart w:id="22" w:name="_Toc200359430"/>
      <w:bookmarkStart w:id="23" w:name="_Toc295409218"/>
      <w:bookmarkStart w:id="24" w:name="_Toc200359241"/>
      <w:r>
        <w:rPr>
          <w:rFonts w:ascii="宋体" w:hAnsi="宋体"/>
          <w:szCs w:val="21"/>
          <w:highlight w:val="none"/>
        </w:rPr>
        <w:t>本次</w:t>
      </w:r>
      <w:r>
        <w:rPr>
          <w:rFonts w:hint="eastAsia" w:ascii="宋体" w:hAnsi="宋体"/>
          <w:szCs w:val="21"/>
          <w:highlight w:val="none"/>
        </w:rPr>
        <w:t>比选</w:t>
      </w:r>
      <w:r>
        <w:rPr>
          <w:rFonts w:ascii="宋体" w:hAnsi="宋体"/>
          <w:szCs w:val="21"/>
          <w:highlight w:val="none"/>
        </w:rPr>
        <w:t>实行资格后审，</w:t>
      </w:r>
      <w:r>
        <w:rPr>
          <w:rFonts w:hint="eastAsia" w:ascii="宋体" w:hAnsi="宋体"/>
          <w:szCs w:val="21"/>
          <w:highlight w:val="none"/>
        </w:rPr>
        <w:t>比选</w:t>
      </w:r>
      <w:r>
        <w:rPr>
          <w:rFonts w:ascii="宋体" w:hAnsi="宋体"/>
          <w:szCs w:val="21"/>
          <w:highlight w:val="none"/>
        </w:rPr>
        <w:t>人应满足下列资格条件：</w:t>
      </w:r>
    </w:p>
    <w:p w14:paraId="478149A9">
      <w:pPr>
        <w:adjustRightInd w:val="0"/>
        <w:snapToGrid w:val="0"/>
        <w:spacing w:line="360" w:lineRule="auto"/>
        <w:ind w:firstLine="420" w:firstLineChars="200"/>
        <w:rPr>
          <w:rFonts w:hint="eastAsia" w:ascii="宋体" w:hAnsi="宋体"/>
          <w:szCs w:val="21"/>
          <w:highlight w:val="none"/>
        </w:rPr>
      </w:pPr>
      <w:r>
        <w:rPr>
          <w:rFonts w:ascii="宋体" w:hAnsi="宋体"/>
          <w:szCs w:val="21"/>
          <w:highlight w:val="none"/>
        </w:rPr>
        <w:t>1.具</w:t>
      </w:r>
      <w:r>
        <w:rPr>
          <w:rFonts w:hint="eastAsia" w:ascii="宋体" w:hAnsi="宋体"/>
          <w:szCs w:val="21"/>
          <w:highlight w:val="none"/>
        </w:rPr>
        <w:t>有</w:t>
      </w:r>
      <w:r>
        <w:rPr>
          <w:rFonts w:ascii="宋体" w:hAnsi="宋体"/>
          <w:szCs w:val="21"/>
          <w:highlight w:val="none"/>
        </w:rPr>
        <w:t>独立的法人资格</w:t>
      </w:r>
      <w:r>
        <w:rPr>
          <w:rFonts w:hint="eastAsia" w:ascii="宋体" w:hAnsi="宋体"/>
          <w:szCs w:val="21"/>
          <w:highlight w:val="none"/>
        </w:rPr>
        <w:t>，未被纳入失信执行人名单；</w:t>
      </w:r>
    </w:p>
    <w:p w14:paraId="610D1BDC">
      <w:pPr>
        <w:adjustRightInd w:val="0"/>
        <w:snapToGrid w:val="0"/>
        <w:spacing w:line="360" w:lineRule="auto"/>
        <w:ind w:firstLine="420" w:firstLineChars="200"/>
        <w:rPr>
          <w:rFonts w:hint="eastAsia" w:ascii="宋体" w:hAnsi="宋体" w:eastAsia="宋体"/>
          <w:szCs w:val="21"/>
          <w:highlight w:val="none"/>
          <w:lang w:eastAsia="zh-CN"/>
        </w:rPr>
      </w:pPr>
      <w:r>
        <w:rPr>
          <w:rFonts w:hint="eastAsia" w:ascii="宋体" w:hAnsi="宋体"/>
          <w:szCs w:val="21"/>
          <w:highlight w:val="none"/>
          <w:lang w:val="en-US" w:eastAsia="zh-CN"/>
        </w:rPr>
        <w:t>2.</w:t>
      </w:r>
      <w:r>
        <w:rPr>
          <w:rFonts w:ascii="宋体" w:hAnsi="宋体"/>
          <w:szCs w:val="21"/>
          <w:highlight w:val="none"/>
        </w:rPr>
        <w:t>公司</w:t>
      </w:r>
      <w:r>
        <w:rPr>
          <w:rFonts w:hint="eastAsia" w:ascii="宋体" w:hAnsi="宋体"/>
          <w:color w:val="auto"/>
          <w:szCs w:val="21"/>
          <w:highlight w:val="none"/>
        </w:rPr>
        <w:t>成立时间不得少于</w:t>
      </w:r>
      <w:r>
        <w:rPr>
          <w:rFonts w:hint="eastAsia" w:ascii="宋体" w:hAnsi="宋体"/>
          <w:color w:val="auto"/>
          <w:szCs w:val="21"/>
          <w:highlight w:val="none"/>
          <w:lang w:eastAsia="zh-CN"/>
        </w:rPr>
        <w:t>5</w:t>
      </w:r>
      <w:r>
        <w:rPr>
          <w:rFonts w:ascii="宋体" w:hAnsi="宋体"/>
          <w:color w:val="auto"/>
          <w:szCs w:val="21"/>
          <w:highlight w:val="none"/>
        </w:rPr>
        <w:t>年，且</w:t>
      </w:r>
      <w:r>
        <w:rPr>
          <w:rFonts w:ascii="宋体" w:hAnsi="宋体"/>
          <w:szCs w:val="21"/>
          <w:highlight w:val="none"/>
        </w:rPr>
        <w:t>连续三年正常营业</w:t>
      </w:r>
      <w:r>
        <w:rPr>
          <w:rFonts w:hint="eastAsia" w:ascii="宋体" w:hAnsi="宋体"/>
          <w:szCs w:val="21"/>
          <w:highlight w:val="none"/>
          <w:lang w:eastAsia="zh-CN"/>
        </w:rPr>
        <w:t>；</w:t>
      </w:r>
    </w:p>
    <w:p w14:paraId="3C5CB0BF">
      <w:pPr>
        <w:adjustRightInd w:val="0"/>
        <w:snapToGrid w:val="0"/>
        <w:spacing w:line="360" w:lineRule="auto"/>
        <w:ind w:firstLine="420" w:firstLineChars="200"/>
        <w:rPr>
          <w:rFonts w:ascii="宋体" w:hAnsi="宋体"/>
          <w:szCs w:val="21"/>
          <w:highlight w:val="none"/>
        </w:rPr>
      </w:pPr>
      <w:r>
        <w:rPr>
          <w:rFonts w:hint="eastAsia" w:ascii="宋体" w:hAnsi="宋体"/>
          <w:szCs w:val="21"/>
          <w:highlight w:val="none"/>
          <w:lang w:val="en-US" w:eastAsia="zh-CN"/>
        </w:rPr>
        <w:t>3</w:t>
      </w:r>
      <w:r>
        <w:rPr>
          <w:rFonts w:hint="eastAsia" w:ascii="宋体" w:hAnsi="宋体"/>
          <w:szCs w:val="21"/>
          <w:highlight w:val="none"/>
        </w:rPr>
        <w:t>.具有良好的商业信誉和健全的财务会计制度；</w:t>
      </w:r>
    </w:p>
    <w:p w14:paraId="4E28E3DF">
      <w:pPr>
        <w:adjustRightInd w:val="0"/>
        <w:snapToGrid w:val="0"/>
        <w:spacing w:line="360" w:lineRule="auto"/>
        <w:ind w:firstLine="420" w:firstLineChars="200"/>
        <w:rPr>
          <w:rFonts w:ascii="宋体" w:hAnsi="宋体"/>
          <w:szCs w:val="21"/>
          <w:highlight w:val="none"/>
        </w:rPr>
      </w:pPr>
      <w:r>
        <w:rPr>
          <w:rFonts w:hint="eastAsia" w:ascii="宋体" w:hAnsi="宋体"/>
          <w:szCs w:val="21"/>
          <w:highlight w:val="none"/>
          <w:lang w:val="en-US" w:eastAsia="zh-CN"/>
        </w:rPr>
        <w:t>4</w:t>
      </w:r>
      <w:r>
        <w:rPr>
          <w:rFonts w:hint="eastAsia" w:ascii="宋体" w:hAnsi="宋体"/>
          <w:szCs w:val="21"/>
          <w:highlight w:val="none"/>
        </w:rPr>
        <w:t>.具有履行合同所必需的设备和专业服务能力；</w:t>
      </w:r>
    </w:p>
    <w:p w14:paraId="0F9621E0">
      <w:pPr>
        <w:adjustRightInd w:val="0"/>
        <w:snapToGrid w:val="0"/>
        <w:spacing w:line="360" w:lineRule="auto"/>
        <w:ind w:firstLine="420" w:firstLineChars="200"/>
        <w:rPr>
          <w:rFonts w:ascii="宋体" w:hAnsi="宋体"/>
          <w:szCs w:val="21"/>
          <w:highlight w:val="none"/>
        </w:rPr>
      </w:pPr>
      <w:r>
        <w:rPr>
          <w:rFonts w:hint="eastAsia" w:ascii="宋体" w:hAnsi="宋体"/>
          <w:szCs w:val="21"/>
          <w:highlight w:val="none"/>
          <w:lang w:val="en-US" w:eastAsia="zh-CN"/>
        </w:rPr>
        <w:t>5</w:t>
      </w:r>
      <w:r>
        <w:rPr>
          <w:rFonts w:hint="eastAsia" w:ascii="宋体" w:hAnsi="宋体"/>
          <w:szCs w:val="21"/>
          <w:highlight w:val="none"/>
        </w:rPr>
        <w:t>.具有</w:t>
      </w:r>
      <w:r>
        <w:rPr>
          <w:rFonts w:hint="eastAsia" w:ascii="宋体" w:hAnsi="宋体"/>
          <w:szCs w:val="21"/>
          <w:highlight w:val="none"/>
          <w:lang w:val="en-US" w:eastAsia="zh-CN"/>
        </w:rPr>
        <w:t>为</w:t>
      </w:r>
      <w:r>
        <w:rPr>
          <w:rFonts w:hint="eastAsia" w:ascii="宋体" w:hAnsi="宋体"/>
          <w:color w:val="auto"/>
          <w:szCs w:val="21"/>
          <w:highlight w:val="none"/>
        </w:rPr>
        <w:t>重庆市国有</w:t>
      </w:r>
      <w:r>
        <w:rPr>
          <w:rFonts w:ascii="宋体" w:hAnsi="宋体"/>
          <w:color w:val="auto"/>
          <w:szCs w:val="21"/>
          <w:highlight w:val="none"/>
        </w:rPr>
        <w:t>企业</w:t>
      </w:r>
      <w:r>
        <w:rPr>
          <w:rFonts w:hint="eastAsia" w:ascii="宋体" w:hAnsi="宋体"/>
          <w:color w:val="auto"/>
          <w:szCs w:val="21"/>
          <w:highlight w:val="none"/>
          <w:lang w:eastAsia="zh-CN"/>
        </w:rPr>
        <w:t>、</w:t>
      </w:r>
      <w:r>
        <w:rPr>
          <w:rFonts w:ascii="宋体" w:hAnsi="宋体"/>
          <w:color w:val="auto"/>
          <w:szCs w:val="21"/>
          <w:highlight w:val="none"/>
        </w:rPr>
        <w:t>政府部门</w:t>
      </w:r>
      <w:r>
        <w:rPr>
          <w:rFonts w:hint="eastAsia" w:ascii="宋体" w:hAnsi="宋体"/>
          <w:color w:val="auto"/>
          <w:szCs w:val="21"/>
          <w:highlight w:val="none"/>
          <w:lang w:val="en-US" w:eastAsia="zh-CN"/>
        </w:rPr>
        <w:t>或事业单位</w:t>
      </w:r>
      <w:r>
        <w:rPr>
          <w:rFonts w:hint="eastAsia" w:ascii="宋体" w:hAnsi="宋体"/>
          <w:szCs w:val="21"/>
          <w:highlight w:val="none"/>
        </w:rPr>
        <w:t>提供服务</w:t>
      </w:r>
      <w:r>
        <w:rPr>
          <w:rFonts w:hint="eastAsia" w:ascii="宋体" w:hAnsi="宋体"/>
          <w:szCs w:val="21"/>
          <w:highlight w:val="none"/>
          <w:lang w:val="en-US" w:eastAsia="zh-CN"/>
        </w:rPr>
        <w:t>的</w:t>
      </w:r>
      <w:r>
        <w:rPr>
          <w:rFonts w:hint="eastAsia" w:ascii="宋体" w:hAnsi="宋体"/>
          <w:szCs w:val="21"/>
          <w:highlight w:val="none"/>
        </w:rPr>
        <w:t>合作经验；</w:t>
      </w:r>
    </w:p>
    <w:p w14:paraId="5021BBCA">
      <w:pPr>
        <w:adjustRightInd w:val="0"/>
        <w:snapToGrid w:val="0"/>
        <w:spacing w:line="360" w:lineRule="auto"/>
        <w:ind w:firstLine="0" w:firstLineChars="0"/>
        <w:rPr>
          <w:rFonts w:ascii="宋体" w:hAnsi="宋体"/>
          <w:szCs w:val="21"/>
          <w:highlight w:val="none"/>
        </w:rPr>
      </w:pPr>
      <w:r>
        <w:rPr>
          <w:rFonts w:hint="eastAsia" w:ascii="宋体" w:hAnsi="宋体" w:cs="宋体"/>
          <w:b/>
          <w:bCs/>
          <w:highlight w:val="none"/>
        </w:rPr>
        <w:t>四、比选文件的获取</w:t>
      </w:r>
      <w:bookmarkEnd w:id="19"/>
      <w:bookmarkEnd w:id="20"/>
      <w:bookmarkEnd w:id="21"/>
      <w:bookmarkEnd w:id="22"/>
      <w:bookmarkEnd w:id="23"/>
      <w:bookmarkEnd w:id="24"/>
    </w:p>
    <w:p w14:paraId="47EEEE42">
      <w:pPr>
        <w:spacing w:line="360" w:lineRule="auto"/>
        <w:ind w:firstLine="420" w:firstLineChars="200"/>
        <w:rPr>
          <w:rFonts w:ascii="宋体" w:hAnsi="宋体" w:cs="宋体"/>
          <w:highlight w:val="none"/>
          <w:u w:val="single"/>
        </w:rPr>
      </w:pPr>
      <w:bookmarkStart w:id="25" w:name="_Toc295409219"/>
      <w:bookmarkStart w:id="26" w:name="_Toc200359242"/>
      <w:bookmarkStart w:id="27" w:name="_Toc200359431"/>
      <w:r>
        <w:rPr>
          <w:rFonts w:ascii="宋体" w:hAnsi="宋体"/>
          <w:szCs w:val="21"/>
          <w:highlight w:val="none"/>
        </w:rPr>
        <w:t>本</w:t>
      </w:r>
      <w:r>
        <w:rPr>
          <w:rFonts w:hint="eastAsia" w:ascii="宋体" w:hAnsi="宋体"/>
          <w:szCs w:val="21"/>
          <w:highlight w:val="none"/>
        </w:rPr>
        <w:t>服务项目为邀请比选，比选人通过</w:t>
      </w:r>
      <w:r>
        <w:rPr>
          <w:rFonts w:hint="eastAsia" w:ascii="宋体" w:hAnsi="宋体"/>
          <w:szCs w:val="21"/>
          <w:highlight w:val="none"/>
          <w:lang w:val="en-US" w:eastAsia="zh-CN"/>
        </w:rPr>
        <w:t>官方网站通知</w:t>
      </w:r>
      <w:r>
        <w:rPr>
          <w:rFonts w:ascii="宋体" w:hAnsi="宋体"/>
          <w:szCs w:val="21"/>
          <w:highlight w:val="none"/>
        </w:rPr>
        <w:t>，</w:t>
      </w:r>
      <w:r>
        <w:rPr>
          <w:rFonts w:hint="eastAsia" w:ascii="宋体" w:hAnsi="宋体"/>
          <w:szCs w:val="21"/>
          <w:highlight w:val="none"/>
        </w:rPr>
        <w:t>比选申请人自行下载</w:t>
      </w:r>
      <w:r>
        <w:rPr>
          <w:rFonts w:ascii="宋体" w:hAnsi="宋体"/>
          <w:szCs w:val="21"/>
          <w:highlight w:val="none"/>
        </w:rPr>
        <w:t>比选申请文件</w:t>
      </w:r>
      <w:r>
        <w:rPr>
          <w:rFonts w:hint="eastAsia" w:ascii="宋体" w:hAnsi="宋体" w:cs="宋体"/>
          <w:highlight w:val="none"/>
        </w:rPr>
        <w:t>。</w:t>
      </w:r>
    </w:p>
    <w:bookmarkEnd w:id="25"/>
    <w:bookmarkEnd w:id="26"/>
    <w:bookmarkEnd w:id="27"/>
    <w:p w14:paraId="6F1AF6EF">
      <w:pPr>
        <w:spacing w:line="360" w:lineRule="auto"/>
        <w:rPr>
          <w:rFonts w:ascii="宋体" w:hAnsi="宋体" w:cs="宋体"/>
          <w:b/>
          <w:bCs/>
          <w:highlight w:val="none"/>
        </w:rPr>
      </w:pPr>
      <w:bookmarkStart w:id="28" w:name="_Toc224103315"/>
      <w:r>
        <w:rPr>
          <w:rFonts w:hint="eastAsia" w:ascii="宋体" w:hAnsi="宋体" w:cs="宋体"/>
          <w:b/>
          <w:bCs/>
          <w:highlight w:val="none"/>
        </w:rPr>
        <w:t>五、联系方式</w:t>
      </w:r>
    </w:p>
    <w:p w14:paraId="196331D2">
      <w:pPr>
        <w:snapToGrid w:val="0"/>
        <w:spacing w:line="360" w:lineRule="auto"/>
        <w:ind w:firstLine="420" w:firstLineChars="200"/>
        <w:rPr>
          <w:rFonts w:hint="eastAsia" w:ascii="宋体" w:hAnsi="宋体" w:eastAsia="宋体"/>
          <w:szCs w:val="21"/>
          <w:highlight w:val="none"/>
          <w:lang w:eastAsia="zh-CN"/>
        </w:rPr>
      </w:pPr>
      <w:r>
        <w:rPr>
          <w:rFonts w:hint="eastAsia" w:ascii="宋体" w:hAnsi="宋体"/>
          <w:szCs w:val="21"/>
          <w:highlight w:val="none"/>
        </w:rPr>
        <w:t>比选</w:t>
      </w:r>
      <w:r>
        <w:rPr>
          <w:rFonts w:ascii="宋体" w:hAnsi="宋体"/>
          <w:szCs w:val="21"/>
          <w:highlight w:val="none"/>
        </w:rPr>
        <w:t>人：</w:t>
      </w:r>
      <w:r>
        <w:rPr>
          <w:rFonts w:hint="eastAsia" w:ascii="宋体" w:hAnsi="宋体"/>
          <w:szCs w:val="21"/>
          <w:highlight w:val="none"/>
          <w:lang w:eastAsia="zh-CN"/>
        </w:rPr>
        <w:t>中国四联仪器仪表集团有限公司重庆分公司</w:t>
      </w:r>
    </w:p>
    <w:p w14:paraId="7CB97E9C">
      <w:pPr>
        <w:snapToGrid w:val="0"/>
        <w:spacing w:line="360" w:lineRule="auto"/>
        <w:ind w:firstLine="420" w:firstLineChars="200"/>
        <w:rPr>
          <w:rFonts w:ascii="宋体" w:hAnsi="宋体"/>
          <w:szCs w:val="21"/>
          <w:highlight w:val="none"/>
        </w:rPr>
      </w:pPr>
      <w:r>
        <w:rPr>
          <w:rFonts w:ascii="宋体" w:hAnsi="宋体"/>
          <w:szCs w:val="21"/>
          <w:highlight w:val="none"/>
        </w:rPr>
        <w:t>地  址：</w:t>
      </w:r>
      <w:r>
        <w:rPr>
          <w:rFonts w:hint="eastAsia" w:ascii="宋体" w:hAnsi="宋体"/>
          <w:szCs w:val="21"/>
          <w:highlight w:val="none"/>
        </w:rPr>
        <w:t>重庆市北碚区蔡家岗</w:t>
      </w:r>
      <w:r>
        <w:rPr>
          <w:rFonts w:ascii="宋体" w:hAnsi="宋体"/>
          <w:szCs w:val="21"/>
          <w:highlight w:val="none"/>
        </w:rPr>
        <w:t>镇</w:t>
      </w:r>
      <w:r>
        <w:rPr>
          <w:rFonts w:hint="eastAsia" w:ascii="宋体" w:hAnsi="宋体"/>
          <w:szCs w:val="21"/>
          <w:highlight w:val="none"/>
        </w:rPr>
        <w:t>同熙路99号</w:t>
      </w:r>
    </w:p>
    <w:p w14:paraId="5A575A26">
      <w:pPr>
        <w:snapToGrid w:val="0"/>
        <w:spacing w:line="360" w:lineRule="auto"/>
        <w:ind w:firstLine="420" w:firstLineChars="200"/>
        <w:rPr>
          <w:rFonts w:hint="eastAsia" w:ascii="宋体" w:hAnsi="宋体" w:eastAsia="宋体"/>
          <w:szCs w:val="21"/>
          <w:highlight w:val="none"/>
          <w:lang w:val="en-US" w:eastAsia="zh-CN"/>
        </w:rPr>
      </w:pPr>
      <w:r>
        <w:rPr>
          <w:rFonts w:ascii="宋体" w:hAnsi="宋体"/>
          <w:szCs w:val="21"/>
          <w:highlight w:val="none"/>
        </w:rPr>
        <w:t>联系人：</w:t>
      </w:r>
      <w:r>
        <w:rPr>
          <w:rFonts w:hint="eastAsia" w:ascii="宋体" w:hAnsi="宋体"/>
          <w:szCs w:val="21"/>
          <w:highlight w:val="none"/>
          <w:lang w:val="en-US" w:eastAsia="zh-CN"/>
        </w:rPr>
        <w:t>张航</w:t>
      </w:r>
    </w:p>
    <w:p w14:paraId="68F89501">
      <w:pPr>
        <w:snapToGrid w:val="0"/>
        <w:spacing w:line="360" w:lineRule="auto"/>
        <w:ind w:firstLine="420" w:firstLineChars="200"/>
        <w:rPr>
          <w:rFonts w:ascii="宋体" w:hAnsi="宋体"/>
          <w:szCs w:val="21"/>
          <w:highlight w:val="none"/>
        </w:rPr>
      </w:pPr>
      <w:r>
        <w:rPr>
          <w:rFonts w:ascii="宋体" w:hAnsi="宋体"/>
          <w:szCs w:val="21"/>
          <w:highlight w:val="none"/>
        </w:rPr>
        <w:t>电  话：</w:t>
      </w:r>
      <w:r>
        <w:rPr>
          <w:rFonts w:hint="eastAsia" w:ascii="宋体" w:hAnsi="宋体"/>
          <w:szCs w:val="21"/>
          <w:highlight w:val="none"/>
          <w:lang w:val="en-US" w:eastAsia="zh-CN"/>
        </w:rPr>
        <w:t>13290080060</w:t>
      </w:r>
    </w:p>
    <w:p w14:paraId="29A469B2">
      <w:pPr>
        <w:snapToGrid w:val="0"/>
        <w:spacing w:line="276" w:lineRule="auto"/>
        <w:ind w:firstLine="420" w:firstLineChars="200"/>
        <w:rPr>
          <w:rFonts w:ascii="宋体" w:hAnsi="宋体"/>
          <w:sz w:val="24"/>
          <w:highlight w:val="none"/>
        </w:rPr>
      </w:pPr>
      <w:r>
        <w:rPr>
          <w:rFonts w:hint="eastAsia" w:ascii="宋体" w:hAnsi="宋体" w:cs="宋体"/>
          <w:highlight w:val="none"/>
        </w:rPr>
        <w:t>邮</w:t>
      </w:r>
      <w:r>
        <w:rPr>
          <w:rFonts w:hint="eastAsia" w:ascii="宋体" w:hAnsi="宋体" w:cs="宋体"/>
          <w:highlight w:val="none"/>
          <w:lang w:val="en-US" w:eastAsia="zh-CN"/>
        </w:rPr>
        <w:t xml:space="preserve">  </w:t>
      </w:r>
      <w:r>
        <w:rPr>
          <w:rFonts w:hint="eastAsia" w:ascii="宋体" w:hAnsi="宋体" w:cs="宋体"/>
          <w:highlight w:val="none"/>
        </w:rPr>
        <w:t>箱</w:t>
      </w:r>
      <w:r>
        <w:rPr>
          <w:rFonts w:hint="eastAsia" w:ascii="宋体" w:hAnsi="宋体" w:cs="宋体"/>
          <w:highlight w:val="none"/>
          <w:lang w:eastAsia="zh-CN"/>
        </w:rPr>
        <w:t>：</w:t>
      </w:r>
      <w:r>
        <w:rPr>
          <w:rFonts w:hint="eastAsia" w:ascii="宋体" w:hAnsi="宋体"/>
          <w:sz w:val="24"/>
          <w:highlight w:val="none"/>
        </w:rPr>
        <w:t xml:space="preserve"> </w:t>
      </w:r>
      <w:bookmarkStart w:id="29" w:name="_Toc432171175"/>
      <w:r>
        <w:rPr>
          <w:rFonts w:hint="eastAsia" w:ascii="宋体" w:hAnsi="宋体" w:cs="宋体"/>
          <w:highlight w:val="none"/>
          <w:lang w:val="en-US" w:eastAsia="zh-CN"/>
        </w:rPr>
        <w:t>604852503@qq.com</w:t>
      </w:r>
    </w:p>
    <w:p w14:paraId="38C9FCE5">
      <w:pPr>
        <w:rPr>
          <w:rFonts w:ascii="宋体" w:hAnsi="宋体"/>
          <w:sz w:val="24"/>
          <w:highlight w:val="none"/>
        </w:rPr>
      </w:pPr>
      <w:r>
        <w:rPr>
          <w:rFonts w:hint="eastAsia" w:ascii="宋体" w:hAnsi="宋体"/>
          <w:sz w:val="24"/>
          <w:highlight w:val="none"/>
        </w:rPr>
        <w:br w:type="page"/>
      </w:r>
    </w:p>
    <w:p w14:paraId="76969EB5">
      <w:pPr>
        <w:jc w:val="center"/>
        <w:rPr>
          <w:b/>
          <w:sz w:val="32"/>
          <w:szCs w:val="32"/>
          <w:highlight w:val="none"/>
        </w:rPr>
      </w:pPr>
      <w:r>
        <w:rPr>
          <w:b/>
          <w:sz w:val="32"/>
          <w:szCs w:val="32"/>
          <w:highlight w:val="none"/>
        </w:rPr>
        <w:t xml:space="preserve">第二章 </w:t>
      </w:r>
      <w:r>
        <w:rPr>
          <w:rFonts w:hint="eastAsia"/>
          <w:b/>
          <w:sz w:val="32"/>
          <w:szCs w:val="32"/>
          <w:highlight w:val="none"/>
        </w:rPr>
        <w:t>比选</w:t>
      </w:r>
      <w:r>
        <w:rPr>
          <w:b/>
          <w:sz w:val="32"/>
          <w:szCs w:val="32"/>
          <w:highlight w:val="none"/>
        </w:rPr>
        <w:t>须知</w:t>
      </w:r>
      <w:bookmarkEnd w:id="28"/>
      <w:bookmarkEnd w:id="29"/>
    </w:p>
    <w:p w14:paraId="34F5DC8E">
      <w:pPr>
        <w:spacing w:line="276" w:lineRule="auto"/>
        <w:jc w:val="left"/>
        <w:rPr>
          <w:rFonts w:ascii="宋体" w:hAnsi="宋体"/>
          <w:b/>
          <w:sz w:val="24"/>
          <w:highlight w:val="none"/>
        </w:rPr>
      </w:pPr>
    </w:p>
    <w:tbl>
      <w:tblPr>
        <w:tblStyle w:val="15"/>
        <w:tblW w:w="1020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942"/>
        <w:gridCol w:w="7088"/>
      </w:tblGrid>
      <w:tr w14:paraId="63E4A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77" w:type="dxa"/>
            <w:vAlign w:val="center"/>
          </w:tcPr>
          <w:p w14:paraId="55AAF679">
            <w:pPr>
              <w:spacing w:line="300" w:lineRule="exact"/>
              <w:jc w:val="center"/>
              <w:rPr>
                <w:rFonts w:ascii="宋体" w:hAnsi="宋体" w:cs="宋体"/>
                <w:b/>
                <w:szCs w:val="21"/>
                <w:highlight w:val="none"/>
              </w:rPr>
            </w:pPr>
            <w:r>
              <w:rPr>
                <w:rFonts w:hint="eastAsia" w:ascii="宋体" w:hAnsi="宋体" w:cs="宋体"/>
                <w:b/>
                <w:szCs w:val="21"/>
                <w:highlight w:val="none"/>
              </w:rPr>
              <w:t>条款号</w:t>
            </w:r>
          </w:p>
        </w:tc>
        <w:tc>
          <w:tcPr>
            <w:tcW w:w="1942" w:type="dxa"/>
            <w:vAlign w:val="center"/>
          </w:tcPr>
          <w:p w14:paraId="71218CC9">
            <w:pPr>
              <w:spacing w:line="300" w:lineRule="exact"/>
              <w:jc w:val="center"/>
              <w:rPr>
                <w:rFonts w:ascii="宋体" w:hAnsi="宋体" w:cs="宋体"/>
                <w:b/>
                <w:szCs w:val="21"/>
                <w:highlight w:val="none"/>
              </w:rPr>
            </w:pPr>
            <w:r>
              <w:rPr>
                <w:rFonts w:hint="eastAsia" w:ascii="宋体" w:hAnsi="宋体" w:cs="宋体"/>
                <w:b/>
                <w:szCs w:val="21"/>
                <w:highlight w:val="none"/>
              </w:rPr>
              <w:t>条款名称</w:t>
            </w:r>
          </w:p>
        </w:tc>
        <w:tc>
          <w:tcPr>
            <w:tcW w:w="7088" w:type="dxa"/>
            <w:vAlign w:val="center"/>
          </w:tcPr>
          <w:p w14:paraId="1329BB91">
            <w:pPr>
              <w:spacing w:line="300" w:lineRule="exact"/>
              <w:jc w:val="center"/>
              <w:rPr>
                <w:rFonts w:ascii="宋体" w:hAnsi="宋体" w:cs="宋体"/>
                <w:b/>
                <w:szCs w:val="21"/>
                <w:highlight w:val="none"/>
              </w:rPr>
            </w:pPr>
            <w:r>
              <w:rPr>
                <w:rFonts w:hint="eastAsia" w:ascii="宋体" w:hAnsi="宋体" w:cs="宋体"/>
                <w:b/>
                <w:szCs w:val="21"/>
                <w:highlight w:val="none"/>
              </w:rPr>
              <w:t>编  列  内  容</w:t>
            </w:r>
          </w:p>
        </w:tc>
      </w:tr>
      <w:tr w14:paraId="170DC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14:paraId="295A8BBE">
            <w:pPr>
              <w:adjustRightInd w:val="0"/>
              <w:snapToGrid w:val="0"/>
              <w:spacing w:line="300" w:lineRule="exact"/>
              <w:jc w:val="center"/>
              <w:rPr>
                <w:rFonts w:ascii="宋体" w:hAnsi="宋体" w:cs="宋体"/>
                <w:kern w:val="0"/>
                <w:szCs w:val="21"/>
                <w:highlight w:val="none"/>
              </w:rPr>
            </w:pPr>
            <w:r>
              <w:rPr>
                <w:rFonts w:ascii="宋体" w:hAnsi="宋体" w:cs="宋体"/>
                <w:kern w:val="0"/>
                <w:szCs w:val="21"/>
                <w:highlight w:val="none"/>
              </w:rPr>
              <w:t>1</w:t>
            </w:r>
          </w:p>
        </w:tc>
        <w:tc>
          <w:tcPr>
            <w:tcW w:w="1942" w:type="dxa"/>
            <w:vAlign w:val="center"/>
          </w:tcPr>
          <w:p w14:paraId="3A0CE2A2">
            <w:pPr>
              <w:spacing w:line="300" w:lineRule="exact"/>
              <w:jc w:val="center"/>
              <w:rPr>
                <w:rFonts w:ascii="宋体" w:hAnsi="宋体" w:cs="宋体"/>
                <w:szCs w:val="21"/>
                <w:highlight w:val="none"/>
              </w:rPr>
            </w:pPr>
            <w:r>
              <w:rPr>
                <w:rFonts w:hint="eastAsia" w:ascii="宋体" w:hAnsi="宋体" w:cs="宋体"/>
                <w:szCs w:val="21"/>
                <w:highlight w:val="none"/>
              </w:rPr>
              <w:t>比选</w:t>
            </w:r>
            <w:r>
              <w:rPr>
                <w:rFonts w:ascii="宋体" w:hAnsi="宋体" w:cs="宋体"/>
                <w:szCs w:val="21"/>
                <w:highlight w:val="none"/>
              </w:rPr>
              <w:t>人</w:t>
            </w:r>
          </w:p>
        </w:tc>
        <w:tc>
          <w:tcPr>
            <w:tcW w:w="7088" w:type="dxa"/>
            <w:vAlign w:val="center"/>
          </w:tcPr>
          <w:p w14:paraId="6684AEF6">
            <w:pPr>
              <w:spacing w:line="300" w:lineRule="exact"/>
              <w:rPr>
                <w:rFonts w:hint="eastAsia" w:ascii="宋体" w:hAnsi="宋体" w:eastAsia="宋体"/>
                <w:bCs/>
                <w:szCs w:val="21"/>
                <w:highlight w:val="none"/>
                <w:lang w:eastAsia="zh-CN"/>
              </w:rPr>
            </w:pPr>
            <w:r>
              <w:rPr>
                <w:rFonts w:hint="eastAsia" w:ascii="宋体" w:hAnsi="宋体" w:cs="MingLiU"/>
                <w:snapToGrid w:val="0"/>
                <w:kern w:val="0"/>
                <w:szCs w:val="21"/>
                <w:highlight w:val="none"/>
                <w:lang w:eastAsia="zh-CN"/>
              </w:rPr>
              <w:t>中国四联仪器仪表集团有限公司重庆分公司</w:t>
            </w:r>
          </w:p>
        </w:tc>
      </w:tr>
      <w:tr w14:paraId="412F3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14:paraId="7FB0683C">
            <w:pPr>
              <w:adjustRightInd w:val="0"/>
              <w:snapToGrid w:val="0"/>
              <w:spacing w:line="300" w:lineRule="exact"/>
              <w:jc w:val="center"/>
              <w:rPr>
                <w:rFonts w:ascii="宋体" w:hAnsi="宋体" w:cs="宋体"/>
                <w:kern w:val="0"/>
                <w:szCs w:val="21"/>
                <w:highlight w:val="none"/>
              </w:rPr>
            </w:pPr>
            <w:r>
              <w:rPr>
                <w:rFonts w:ascii="宋体" w:hAnsi="宋体" w:cs="宋体"/>
                <w:kern w:val="0"/>
                <w:szCs w:val="21"/>
                <w:highlight w:val="none"/>
              </w:rPr>
              <w:t>2</w:t>
            </w:r>
          </w:p>
        </w:tc>
        <w:tc>
          <w:tcPr>
            <w:tcW w:w="1942" w:type="dxa"/>
            <w:vAlign w:val="center"/>
          </w:tcPr>
          <w:p w14:paraId="614D7C49">
            <w:pPr>
              <w:spacing w:line="300" w:lineRule="exact"/>
              <w:jc w:val="center"/>
              <w:rPr>
                <w:rFonts w:ascii="宋体" w:hAnsi="宋体" w:cs="宋体"/>
                <w:szCs w:val="21"/>
                <w:highlight w:val="none"/>
              </w:rPr>
            </w:pPr>
            <w:r>
              <w:rPr>
                <w:rFonts w:hint="eastAsia" w:ascii="宋体" w:hAnsi="宋体" w:cs="宋体"/>
                <w:szCs w:val="21"/>
                <w:highlight w:val="none"/>
              </w:rPr>
              <w:t>项目名称</w:t>
            </w:r>
          </w:p>
        </w:tc>
        <w:tc>
          <w:tcPr>
            <w:tcW w:w="7088" w:type="dxa"/>
            <w:vAlign w:val="center"/>
          </w:tcPr>
          <w:p w14:paraId="323CF270">
            <w:pPr>
              <w:spacing w:line="300" w:lineRule="exact"/>
              <w:rPr>
                <w:rFonts w:ascii="宋体" w:hAnsi="宋体" w:cs="宋体"/>
                <w:bCs/>
                <w:szCs w:val="21"/>
                <w:highlight w:val="none"/>
              </w:rPr>
            </w:pPr>
            <w:r>
              <w:rPr>
                <w:rFonts w:hint="eastAsia" w:ascii="宋体" w:hAnsi="宋体" w:cs="宋体"/>
                <w:bCs/>
                <w:szCs w:val="21"/>
                <w:highlight w:val="none"/>
              </w:rPr>
              <w:t>渝中区筷子街2号车库道闸服务采购</w:t>
            </w:r>
          </w:p>
        </w:tc>
      </w:tr>
      <w:tr w14:paraId="58AA6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177" w:type="dxa"/>
            <w:vAlign w:val="center"/>
          </w:tcPr>
          <w:p w14:paraId="63B1F847">
            <w:pPr>
              <w:adjustRightInd w:val="0"/>
              <w:snapToGrid w:val="0"/>
              <w:spacing w:line="300" w:lineRule="exact"/>
              <w:jc w:val="center"/>
              <w:rPr>
                <w:rFonts w:ascii="宋体" w:hAnsi="宋体" w:cs="宋体"/>
                <w:kern w:val="0"/>
                <w:szCs w:val="21"/>
                <w:highlight w:val="none"/>
              </w:rPr>
            </w:pPr>
            <w:r>
              <w:rPr>
                <w:rFonts w:ascii="宋体" w:hAnsi="宋体" w:cs="宋体"/>
                <w:kern w:val="0"/>
                <w:szCs w:val="21"/>
                <w:highlight w:val="none"/>
              </w:rPr>
              <w:t>3</w:t>
            </w:r>
          </w:p>
        </w:tc>
        <w:tc>
          <w:tcPr>
            <w:tcW w:w="1942" w:type="dxa"/>
            <w:vAlign w:val="center"/>
          </w:tcPr>
          <w:p w14:paraId="58779FF8">
            <w:pPr>
              <w:spacing w:line="300" w:lineRule="exact"/>
              <w:jc w:val="center"/>
              <w:rPr>
                <w:rFonts w:ascii="宋体" w:hAnsi="宋体" w:cs="宋体"/>
                <w:szCs w:val="21"/>
                <w:highlight w:val="none"/>
              </w:rPr>
            </w:pPr>
            <w:r>
              <w:rPr>
                <w:rFonts w:hint="eastAsia" w:ascii="宋体" w:hAnsi="宋体" w:cs="宋体"/>
                <w:szCs w:val="21"/>
                <w:highlight w:val="none"/>
              </w:rPr>
              <w:t>服务地点</w:t>
            </w:r>
          </w:p>
        </w:tc>
        <w:tc>
          <w:tcPr>
            <w:tcW w:w="7088" w:type="dxa"/>
            <w:vAlign w:val="center"/>
          </w:tcPr>
          <w:p w14:paraId="1A767BA5">
            <w:pPr>
              <w:adjustRightInd w:val="0"/>
              <w:snapToGrid w:val="0"/>
              <w:spacing w:line="300" w:lineRule="exact"/>
              <w:ind w:firstLine="4" w:firstLineChars="2"/>
              <w:rPr>
                <w:rFonts w:ascii="宋体" w:hAnsi="宋体" w:cs="宋体"/>
                <w:szCs w:val="21"/>
                <w:highlight w:val="none"/>
              </w:rPr>
            </w:pPr>
            <w:r>
              <w:rPr>
                <w:rFonts w:hint="eastAsia" w:ascii="宋体" w:hAnsi="宋体"/>
                <w:szCs w:val="21"/>
                <w:highlight w:val="none"/>
              </w:rPr>
              <w:t>重庆市北碚区蔡家岗镇同熙路99号</w:t>
            </w:r>
          </w:p>
        </w:tc>
      </w:tr>
      <w:tr w14:paraId="764B8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Align w:val="center"/>
          </w:tcPr>
          <w:p w14:paraId="00705B0A">
            <w:pPr>
              <w:adjustRightInd w:val="0"/>
              <w:snapToGrid w:val="0"/>
              <w:spacing w:line="300" w:lineRule="exact"/>
              <w:jc w:val="center"/>
              <w:rPr>
                <w:rFonts w:ascii="宋体" w:hAnsi="宋体" w:cs="宋体"/>
                <w:kern w:val="0"/>
                <w:szCs w:val="21"/>
                <w:highlight w:val="none"/>
              </w:rPr>
            </w:pPr>
            <w:r>
              <w:rPr>
                <w:rFonts w:ascii="宋体" w:hAnsi="宋体" w:cs="宋体"/>
                <w:kern w:val="0"/>
                <w:szCs w:val="21"/>
                <w:highlight w:val="none"/>
              </w:rPr>
              <w:t>4</w:t>
            </w:r>
          </w:p>
        </w:tc>
        <w:tc>
          <w:tcPr>
            <w:tcW w:w="1942" w:type="dxa"/>
            <w:vAlign w:val="center"/>
          </w:tcPr>
          <w:p w14:paraId="3D1C22E0">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rPr>
              <w:t>服务内容</w:t>
            </w:r>
          </w:p>
          <w:p w14:paraId="581A155B">
            <w:pPr>
              <w:adjustRightInd w:val="0"/>
              <w:snapToGrid w:val="0"/>
              <w:spacing w:line="460" w:lineRule="exact"/>
              <w:jc w:val="center"/>
              <w:rPr>
                <w:rFonts w:ascii="宋体" w:hAnsi="宋体" w:cs="宋体"/>
                <w:kern w:val="0"/>
                <w:szCs w:val="21"/>
                <w:highlight w:val="none"/>
              </w:rPr>
            </w:pPr>
            <w:r>
              <w:rPr>
                <w:rFonts w:hint="eastAsia" w:ascii="宋体" w:hAnsi="宋体" w:cs="宋体"/>
                <w:kern w:val="0"/>
                <w:szCs w:val="21"/>
                <w:highlight w:val="none"/>
              </w:rPr>
              <w:t>服务要求</w:t>
            </w:r>
          </w:p>
          <w:p w14:paraId="57DE6C88">
            <w:pPr>
              <w:adjustRightInd w:val="0"/>
              <w:snapToGrid w:val="0"/>
              <w:spacing w:line="420" w:lineRule="exact"/>
              <w:jc w:val="center"/>
              <w:rPr>
                <w:rFonts w:ascii="宋体" w:hAnsi="宋体" w:cs="宋体"/>
                <w:kern w:val="0"/>
                <w:szCs w:val="21"/>
                <w:highlight w:val="none"/>
              </w:rPr>
            </w:pPr>
            <w:r>
              <w:rPr>
                <w:rFonts w:hint="eastAsia" w:ascii="宋体" w:hAnsi="宋体" w:cs="宋体"/>
                <w:kern w:val="0"/>
                <w:szCs w:val="21"/>
                <w:highlight w:val="none"/>
              </w:rPr>
              <w:t>服务成果</w:t>
            </w:r>
          </w:p>
        </w:tc>
        <w:tc>
          <w:tcPr>
            <w:tcW w:w="7088" w:type="dxa"/>
            <w:vAlign w:val="center"/>
          </w:tcPr>
          <w:p w14:paraId="213E9395">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“※”标注的</w:t>
            </w:r>
            <w:r>
              <w:rPr>
                <w:rFonts w:hint="eastAsia" w:ascii="宋体" w:hAnsi="宋体" w:cs="宋体"/>
                <w:color w:val="auto"/>
                <w:sz w:val="21"/>
                <w:szCs w:val="21"/>
                <w:highlight w:val="none"/>
                <w:lang w:val="en-US" w:eastAsia="zh-CN"/>
              </w:rPr>
              <w:t>比选</w:t>
            </w:r>
            <w:r>
              <w:rPr>
                <w:rFonts w:hint="eastAsia" w:ascii="宋体" w:hAnsi="宋体" w:eastAsia="宋体" w:cs="宋体"/>
                <w:color w:val="auto"/>
                <w:sz w:val="21"/>
                <w:szCs w:val="21"/>
                <w:highlight w:val="none"/>
              </w:rPr>
              <w:t>项目服务要求为实质性要求，</w:t>
            </w:r>
            <w:r>
              <w:rPr>
                <w:rFonts w:hint="eastAsia" w:ascii="宋体" w:hAnsi="宋体" w:cs="宋体"/>
                <w:color w:val="auto"/>
                <w:sz w:val="21"/>
                <w:szCs w:val="21"/>
                <w:highlight w:val="none"/>
                <w:lang w:val="en-US" w:eastAsia="zh-CN"/>
              </w:rPr>
              <w:t>比选申请人需提供盖章的承诺函。</w:t>
            </w:r>
          </w:p>
          <w:p w14:paraId="265823B2">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“▲”标注的</w:t>
            </w:r>
            <w:r>
              <w:rPr>
                <w:rFonts w:hint="eastAsia" w:ascii="宋体" w:hAnsi="宋体" w:cs="宋体"/>
                <w:color w:val="auto"/>
                <w:sz w:val="21"/>
                <w:szCs w:val="21"/>
                <w:highlight w:val="none"/>
                <w:lang w:val="en-US" w:eastAsia="zh-CN"/>
              </w:rPr>
              <w:t>比选</w:t>
            </w:r>
            <w:r>
              <w:rPr>
                <w:rFonts w:hint="eastAsia" w:ascii="宋体" w:hAnsi="宋体" w:eastAsia="宋体" w:cs="宋体"/>
                <w:color w:val="auto"/>
                <w:sz w:val="21"/>
                <w:szCs w:val="21"/>
                <w:highlight w:val="none"/>
              </w:rPr>
              <w:t>项目服务要求为重要服务要求，</w:t>
            </w:r>
            <w:r>
              <w:rPr>
                <w:rFonts w:hint="eastAsia" w:ascii="宋体" w:hAnsi="宋体" w:cs="宋体"/>
                <w:color w:val="auto"/>
                <w:sz w:val="21"/>
                <w:szCs w:val="21"/>
                <w:highlight w:val="none"/>
                <w:lang w:val="en-US" w:eastAsia="zh-CN"/>
              </w:rPr>
              <w:t>比选申请人</w:t>
            </w:r>
            <w:r>
              <w:rPr>
                <w:rFonts w:hint="eastAsia" w:ascii="宋体" w:hAnsi="宋体" w:eastAsia="宋体" w:cs="宋体"/>
                <w:color w:val="auto"/>
                <w:sz w:val="21"/>
                <w:szCs w:val="21"/>
                <w:highlight w:val="none"/>
                <w:lang w:val="en-US" w:eastAsia="zh-CN"/>
              </w:rPr>
              <w:t>需</w:t>
            </w:r>
            <w:r>
              <w:rPr>
                <w:rFonts w:hint="eastAsia" w:ascii="宋体" w:hAnsi="宋体" w:eastAsia="宋体" w:cs="宋体"/>
                <w:color w:val="auto"/>
                <w:sz w:val="21"/>
                <w:szCs w:val="21"/>
                <w:highlight w:val="none"/>
              </w:rPr>
              <w:t>提供相应检测报告。</w:t>
            </w:r>
          </w:p>
          <w:p w14:paraId="76FD39D3">
            <w:pPr>
              <w:numPr>
                <w:ilvl w:val="-1"/>
                <w:numId w:val="0"/>
              </w:numPr>
              <w:adjustRightInd w:val="0"/>
              <w:snapToGrid w:val="0"/>
              <w:spacing w:line="300" w:lineRule="exact"/>
              <w:ind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招标文件发起，</w:t>
            </w:r>
            <w:r>
              <w:rPr>
                <w:rFonts w:hint="eastAsia" w:ascii="宋体" w:hAnsi="宋体" w:cs="宋体"/>
                <w:b/>
                <w:bCs/>
                <w:color w:val="auto"/>
                <w:sz w:val="21"/>
                <w:szCs w:val="21"/>
                <w:highlight w:val="none"/>
                <w:lang w:val="en-US" w:eastAsia="zh-CN"/>
              </w:rPr>
              <w:t>比选申请人</w:t>
            </w:r>
            <w:r>
              <w:rPr>
                <w:rFonts w:hint="eastAsia" w:ascii="宋体" w:hAnsi="宋体" w:eastAsia="宋体" w:cs="宋体"/>
                <w:b/>
                <w:bCs/>
                <w:color w:val="auto"/>
                <w:sz w:val="21"/>
                <w:szCs w:val="21"/>
                <w:highlight w:val="none"/>
              </w:rPr>
              <w:t>自行对现场进行勘测，进行投标报价。</w:t>
            </w:r>
          </w:p>
          <w:p w14:paraId="0CD2D4A1">
            <w:pPr>
              <w:widowControl/>
              <w:numPr>
                <w:ilvl w:val="-1"/>
                <w:numId w:val="0"/>
              </w:numPr>
              <w:adjustRightInd w:val="0"/>
              <w:snapToGrid w:val="0"/>
              <w:spacing w:line="300" w:lineRule="exact"/>
              <w:ind w:firstLine="0" w:firstLineChars="0"/>
              <w:outlineLvl w:val="9"/>
              <w:rPr>
                <w:rFonts w:hint="eastAsia" w:ascii="宋体" w:hAnsi="宋体" w:eastAsia="宋体" w:cs="宋体"/>
                <w:b w:val="0"/>
                <w:bCs w:val="0"/>
                <w:color w:val="auto"/>
                <w:sz w:val="21"/>
                <w:szCs w:val="21"/>
                <w:highlight w:val="none"/>
              </w:rPr>
            </w:pPr>
            <w:bookmarkStart w:id="30" w:name="_Toc23252"/>
            <w:bookmarkStart w:id="31" w:name="_Toc3924"/>
            <w:r>
              <w:rPr>
                <w:rFonts w:hint="default" w:ascii="宋体" w:hAnsi="宋体" w:eastAsia="宋体" w:cs="宋体"/>
                <w:b w:val="0"/>
                <w:bCs w:val="0"/>
                <w:color w:val="auto"/>
                <w:sz w:val="21"/>
                <w:szCs w:val="21"/>
                <w:highlight w:val="none"/>
                <w:lang w:val="en-US"/>
              </w:rPr>
              <w:t>（一）</w:t>
            </w:r>
            <w:r>
              <w:rPr>
                <w:rFonts w:hint="eastAsia" w:ascii="宋体" w:hAnsi="宋体" w:eastAsia="宋体" w:cs="宋体"/>
                <w:b w:val="0"/>
                <w:bCs w:val="0"/>
                <w:color w:val="auto"/>
                <w:sz w:val="21"/>
                <w:szCs w:val="21"/>
                <w:highlight w:val="none"/>
              </w:rPr>
              <w:t>服务范围、内容及要求</w:t>
            </w:r>
            <w:bookmarkEnd w:id="30"/>
            <w:bookmarkEnd w:id="31"/>
            <w:bookmarkStart w:id="95" w:name="_GoBack"/>
            <w:bookmarkEnd w:id="95"/>
          </w:p>
          <w:p w14:paraId="0DAD2A3D">
            <w:pPr>
              <w:numPr>
                <w:ilvl w:val="-1"/>
                <w:numId w:val="0"/>
              </w:numPr>
              <w:adjustRightInd w:val="0"/>
              <w:snapToGrid w:val="0"/>
              <w:spacing w:line="300" w:lineRule="exact"/>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1.服务范围：停车场道闸系统</w:t>
            </w:r>
            <w:r>
              <w:rPr>
                <w:rFonts w:hint="eastAsia" w:ascii="宋体" w:hAnsi="宋体" w:cs="宋体"/>
                <w:color w:val="auto"/>
                <w:sz w:val="21"/>
                <w:szCs w:val="21"/>
                <w:highlight w:val="none"/>
                <w:lang w:val="en-US" w:eastAsia="zh-CN"/>
              </w:rPr>
              <w:t>无人值守</w:t>
            </w:r>
            <w:r>
              <w:rPr>
                <w:rFonts w:hint="eastAsia" w:ascii="宋体" w:hAnsi="宋体" w:eastAsia="宋体" w:cs="宋体"/>
                <w:color w:val="auto"/>
                <w:sz w:val="21"/>
                <w:szCs w:val="21"/>
                <w:highlight w:val="none"/>
              </w:rPr>
              <w:t>。</w:t>
            </w:r>
          </w:p>
          <w:p w14:paraId="025CF8E8">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※2.服务内容及要求：停车场道闸设备需整体升级换新处理并提供5年质保服务，满足本单位对停车场管理工作要求，请供应商提供相应承诺函。</w:t>
            </w:r>
          </w:p>
          <w:p w14:paraId="798ADD35">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※3.停车管理系统采用云平台形式，支持手机APP实时监控管理车库系统：手机APP查看车场经营情况、车辆查询、查询记录、远程开闸、月卡开通管理、商户优免等，提供APP功能截图及承诺函。</w:t>
            </w:r>
          </w:p>
          <w:p w14:paraId="092B43FF">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※4.车道管控设备需支持离线计费：当控制机遭遇网络中断时，控制机将自动切换至离线计费模式，无需人工干预,车主只需根据设备语音提示，使用手机扫码连接设备进行计费，提供彩页功能截图及承诺函。</w:t>
            </w:r>
          </w:p>
          <w:p w14:paraId="6A56FF8E">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※5.车道控制机设备</w:t>
            </w:r>
            <w:r>
              <w:rPr>
                <w:rFonts w:hint="eastAsia" w:ascii="宋体" w:hAnsi="宋体" w:eastAsia="宋体" w:cs="宋体"/>
                <w:color w:val="auto"/>
                <w:sz w:val="21"/>
                <w:szCs w:val="21"/>
                <w:highlight w:val="none"/>
                <w:lang w:val="en-US" w:eastAsia="zh-CN"/>
              </w:rPr>
              <w:t>满足</w:t>
            </w:r>
            <w:r>
              <w:rPr>
                <w:rFonts w:hint="eastAsia" w:ascii="宋体" w:hAnsi="宋体" w:eastAsia="宋体" w:cs="宋体"/>
                <w:b w:val="0"/>
                <w:bCs w:val="0"/>
                <w:color w:val="auto"/>
                <w:sz w:val="21"/>
                <w:szCs w:val="21"/>
                <w:highlight w:val="none"/>
              </w:rPr>
              <w:t>双网备份</w:t>
            </w:r>
            <w:r>
              <w:rPr>
                <w:rFonts w:hint="eastAsia" w:ascii="宋体" w:hAnsi="宋体" w:eastAsia="宋体" w:cs="宋体"/>
                <w:b w:val="0"/>
                <w:bCs w:val="0"/>
                <w:color w:val="auto"/>
                <w:sz w:val="21"/>
                <w:szCs w:val="21"/>
                <w:highlight w:val="none"/>
                <w:lang w:val="en-US" w:eastAsia="zh-CN"/>
              </w:rPr>
              <w:t>功能</w:t>
            </w:r>
            <w:r>
              <w:rPr>
                <w:rFonts w:hint="eastAsia" w:ascii="宋体" w:hAnsi="宋体" w:eastAsia="宋体" w:cs="宋体"/>
                <w:b w:val="0"/>
                <w:bCs w:val="0"/>
                <w:color w:val="auto"/>
                <w:sz w:val="21"/>
                <w:szCs w:val="21"/>
                <w:highlight w:val="none"/>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设备采用有线网络和无线网络通信时满足自动切换和手动切换，明确无线网络流量提供周期</w:t>
            </w:r>
            <w:r>
              <w:rPr>
                <w:rFonts w:hint="eastAsia" w:ascii="宋体" w:hAnsi="宋体" w:cs="宋体"/>
                <w:color w:val="auto"/>
                <w:sz w:val="21"/>
                <w:szCs w:val="21"/>
                <w:highlight w:val="none"/>
                <w:lang w:val="en-US" w:eastAsia="zh-CN"/>
              </w:rPr>
              <w:t>，无线网络至少采用4G网络，并由比选申请人承担服务期限内网络流量费用</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w:t>
            </w:r>
            <w:r>
              <w:rPr>
                <w:rFonts w:hint="eastAsia" w:ascii="宋体" w:hAnsi="宋体" w:eastAsia="宋体" w:cs="宋体"/>
                <w:b w:val="0"/>
                <w:bCs w:val="0"/>
                <w:color w:val="auto"/>
                <w:sz w:val="21"/>
                <w:szCs w:val="21"/>
                <w:highlight w:val="none"/>
              </w:rPr>
              <w:t>提供彩页功能截</w:t>
            </w:r>
            <w:r>
              <w:rPr>
                <w:rFonts w:hint="eastAsia" w:ascii="宋体" w:hAnsi="宋体" w:eastAsia="宋体" w:cs="宋体"/>
                <w:color w:val="auto"/>
                <w:sz w:val="21"/>
                <w:szCs w:val="21"/>
                <w:highlight w:val="none"/>
              </w:rPr>
              <w:t>图及承诺函。</w:t>
            </w:r>
          </w:p>
          <w:p w14:paraId="14B69128">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※6.车道控制机设备是物联网设备直接联云</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无需设备连接本地驱动再联云</w:t>
            </w:r>
            <w:r>
              <w:rPr>
                <w:rFonts w:hint="eastAsia" w:ascii="宋体" w:hAnsi="宋体" w:eastAsia="宋体" w:cs="宋体"/>
                <w:color w:val="auto"/>
                <w:sz w:val="21"/>
                <w:szCs w:val="21"/>
                <w:highlight w:val="none"/>
              </w:rPr>
              <w:t>，提供彩页功能截图及承诺函。</w:t>
            </w:r>
          </w:p>
          <w:p w14:paraId="056C141C">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.车道控制机设备</w:t>
            </w:r>
            <w:r>
              <w:rPr>
                <w:rFonts w:hint="eastAsia" w:ascii="宋体" w:hAnsi="宋体" w:eastAsia="宋体" w:cs="宋体"/>
                <w:color w:val="auto"/>
                <w:sz w:val="21"/>
                <w:szCs w:val="21"/>
                <w:highlight w:val="none"/>
                <w:lang w:val="en-US" w:eastAsia="zh-CN"/>
              </w:rPr>
              <w:t>支持防逃费功能</w:t>
            </w:r>
            <w:r>
              <w:rPr>
                <w:rFonts w:hint="eastAsia" w:ascii="宋体" w:hAnsi="宋体" w:eastAsia="宋体" w:cs="宋体"/>
                <w:color w:val="auto"/>
                <w:sz w:val="21"/>
                <w:szCs w:val="21"/>
                <w:highlight w:val="none"/>
              </w:rPr>
              <w:t>，提供彩页功能截图及承诺函。</w:t>
            </w:r>
          </w:p>
          <w:p w14:paraId="051EE547">
            <w:pPr>
              <w:numPr>
                <w:ilvl w:val="-1"/>
                <w:numId w:val="0"/>
              </w:numPr>
              <w:adjustRightInd w:val="0"/>
              <w:snapToGrid w:val="0"/>
              <w:spacing w:line="3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切换停车系统时，还滞留在场内车辆，需导入原有车场系统临停车辆数据，保障车辆正常进出及计费</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切换方案及</w:t>
            </w:r>
            <w:r>
              <w:rPr>
                <w:rFonts w:hint="eastAsia" w:ascii="宋体" w:hAnsi="宋体" w:eastAsia="宋体" w:cs="宋体"/>
                <w:color w:val="auto"/>
                <w:sz w:val="21"/>
                <w:szCs w:val="21"/>
                <w:highlight w:val="none"/>
              </w:rPr>
              <w:t>承诺函。</w:t>
            </w:r>
          </w:p>
          <w:p w14:paraId="744F01A9">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支持云端坐席、前端车道双向呼叫，坐席端自动触发呼叫</w:t>
            </w:r>
            <w:r>
              <w:rPr>
                <w:rFonts w:hint="eastAsia" w:ascii="宋体" w:hAnsi="宋体" w:eastAsia="宋体" w:cs="宋体"/>
                <w:color w:val="auto"/>
                <w:sz w:val="21"/>
                <w:szCs w:val="21"/>
                <w:highlight w:val="none"/>
                <w:lang w:val="en-US" w:eastAsia="zh-CN"/>
              </w:rPr>
              <w:t>功能</w:t>
            </w:r>
            <w:r>
              <w:rPr>
                <w:rFonts w:hint="eastAsia" w:ascii="宋体" w:hAnsi="宋体" w:eastAsia="宋体" w:cs="宋体"/>
                <w:color w:val="auto"/>
                <w:sz w:val="21"/>
                <w:szCs w:val="21"/>
                <w:highlight w:val="none"/>
              </w:rPr>
              <w:t>，提供彩页功能截图及承诺函。</w:t>
            </w:r>
          </w:p>
          <w:p w14:paraId="28EEE60C">
            <w:pPr>
              <w:numPr>
                <w:ilvl w:val="-1"/>
                <w:numId w:val="0"/>
              </w:numPr>
              <w:adjustRightInd w:val="0"/>
              <w:snapToGrid w:val="0"/>
              <w:spacing w:line="300" w:lineRule="exact"/>
              <w:ind w:firstLine="0" w:firstLineChars="0"/>
              <w:rPr>
                <w:rFonts w:hint="default" w:ascii="宋体" w:hAnsi="宋体" w:cs="Times New Roman"/>
                <w:bCs/>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补充设施：(1)</w:t>
            </w:r>
            <w:r>
              <w:rPr>
                <w:rFonts w:hint="eastAsia" w:ascii="宋体" w:hAnsi="宋体" w:eastAsia="宋体" w:cs="Times New Roman"/>
                <w:bCs/>
                <w:sz w:val="21"/>
                <w:szCs w:val="21"/>
                <w:highlight w:val="none"/>
                <w:lang w:val="en-US" w:eastAsia="zh-CN"/>
              </w:rPr>
              <w:t>车库进口及车库内出口</w:t>
            </w:r>
            <w:r>
              <w:rPr>
                <w:rFonts w:hint="eastAsia" w:ascii="宋体" w:hAnsi="宋体" w:cs="Times New Roman"/>
                <w:bCs/>
                <w:sz w:val="21"/>
                <w:szCs w:val="21"/>
                <w:highlight w:val="none"/>
                <w:lang w:val="en-US" w:eastAsia="zh-CN"/>
              </w:rPr>
              <w:t>处须分别</w:t>
            </w:r>
            <w:r>
              <w:rPr>
                <w:rFonts w:hint="eastAsia" w:ascii="宋体" w:hAnsi="宋体" w:eastAsia="宋体" w:cs="Times New Roman"/>
                <w:bCs/>
                <w:sz w:val="21"/>
                <w:szCs w:val="21"/>
                <w:highlight w:val="none"/>
                <w:lang w:val="en-US" w:eastAsia="zh-CN"/>
              </w:rPr>
              <w:t>加装红绿灯</w:t>
            </w:r>
            <w:r>
              <w:rPr>
                <w:rFonts w:hint="eastAsia" w:ascii="宋体" w:hAnsi="宋体" w:cs="Times New Roman"/>
                <w:bCs/>
                <w:sz w:val="21"/>
                <w:szCs w:val="21"/>
                <w:highlight w:val="none"/>
                <w:lang w:val="en-US" w:eastAsia="zh-CN"/>
              </w:rPr>
              <w:t>装置，以提升车道通行安全及提前预警。(2)车库进出口</w:t>
            </w:r>
            <w:r>
              <w:rPr>
                <w:rFonts w:hint="eastAsia" w:ascii="宋体" w:hAnsi="宋体" w:eastAsia="宋体" w:cs="Times New Roman"/>
                <w:bCs/>
                <w:sz w:val="21"/>
                <w:szCs w:val="21"/>
                <w:highlight w:val="none"/>
                <w:lang w:val="en-US" w:eastAsia="zh-CN"/>
              </w:rPr>
              <w:t>拐角处</w:t>
            </w:r>
            <w:r>
              <w:rPr>
                <w:rFonts w:hint="eastAsia" w:ascii="宋体" w:hAnsi="宋体" w:cs="Times New Roman"/>
                <w:bCs/>
                <w:sz w:val="21"/>
                <w:szCs w:val="21"/>
                <w:highlight w:val="none"/>
                <w:lang w:val="en-US" w:eastAsia="zh-CN"/>
              </w:rPr>
              <w:t>须分别加装大尺寸</w:t>
            </w:r>
            <w:r>
              <w:rPr>
                <w:rFonts w:hint="eastAsia" w:ascii="宋体" w:hAnsi="宋体" w:eastAsia="宋体" w:cs="Times New Roman"/>
                <w:bCs/>
                <w:sz w:val="21"/>
                <w:szCs w:val="21"/>
                <w:highlight w:val="none"/>
                <w:lang w:val="en-US" w:eastAsia="zh-CN"/>
              </w:rPr>
              <w:t>凸面反光镜</w:t>
            </w:r>
            <w:r>
              <w:rPr>
                <w:rFonts w:hint="eastAsia" w:ascii="宋体" w:hAnsi="宋体" w:cs="Times New Roman"/>
                <w:bCs/>
                <w:sz w:val="21"/>
                <w:szCs w:val="21"/>
                <w:highlight w:val="none"/>
                <w:lang w:val="en-US" w:eastAsia="zh-CN"/>
              </w:rPr>
              <w:t>，</w:t>
            </w:r>
            <w:r>
              <w:rPr>
                <w:rFonts w:hint="eastAsia" w:ascii="宋体" w:hAnsi="宋体" w:eastAsia="宋体" w:cs="Times New Roman"/>
                <w:bCs/>
                <w:sz w:val="21"/>
                <w:szCs w:val="21"/>
                <w:highlight w:val="none"/>
                <w:lang w:val="en-US" w:eastAsia="zh-CN"/>
              </w:rPr>
              <w:t>解决车主视野盲区问题</w:t>
            </w:r>
            <w:r>
              <w:rPr>
                <w:rFonts w:hint="eastAsia" w:ascii="宋体" w:hAnsi="宋体" w:cs="Times New Roman"/>
                <w:bCs/>
                <w:sz w:val="21"/>
                <w:szCs w:val="21"/>
                <w:highlight w:val="none"/>
                <w:lang w:val="en-US" w:eastAsia="zh-CN"/>
              </w:rPr>
              <w:t>。(3)车库外围平坝或临近入口红绿灯处须设置剩余停车位数量的显示屏，控制车库内车辆总数。</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方案及</w:t>
            </w:r>
            <w:r>
              <w:rPr>
                <w:rFonts w:hint="eastAsia" w:ascii="宋体" w:hAnsi="宋体" w:eastAsia="宋体" w:cs="宋体"/>
                <w:color w:val="auto"/>
                <w:sz w:val="21"/>
                <w:szCs w:val="21"/>
                <w:highlight w:val="none"/>
              </w:rPr>
              <w:t>承诺函</w:t>
            </w:r>
          </w:p>
          <w:p w14:paraId="210E488A">
            <w:pPr>
              <w:numPr>
                <w:ilvl w:val="-1"/>
                <w:numId w:val="0"/>
              </w:numPr>
              <w:adjustRightInd w:val="0"/>
              <w:snapToGrid w:val="0"/>
              <w:spacing w:line="300" w:lineRule="exact"/>
              <w:ind w:firstLine="0" w:firstLineChars="0"/>
              <w:rPr>
                <w:rFonts w:hint="eastAsia" w:ascii="宋体" w:hAnsi="宋体" w:cs="Times New Roman"/>
                <w:bCs/>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cs="Times New Roman"/>
                <w:bCs/>
                <w:sz w:val="21"/>
                <w:szCs w:val="21"/>
                <w:highlight w:val="none"/>
                <w:lang w:val="en-US" w:eastAsia="zh-CN"/>
              </w:rPr>
              <w:t>11.比选申请人承诺，服务期内提供的相关软件的升级等相关服务价格不得增加；其提供的硬件设备、软件系统及相关服务，不得侵犯他人知识产权（包括但不限于著作权、专利权、商标权、商业秘密等）。</w:t>
            </w:r>
            <w:r>
              <w:rPr>
                <w:rFonts w:hint="eastAsia" w:ascii="宋体" w:hAnsi="宋体" w:eastAsia="宋体" w:cs="宋体"/>
                <w:color w:val="auto"/>
                <w:sz w:val="21"/>
                <w:szCs w:val="21"/>
                <w:highlight w:val="none"/>
              </w:rPr>
              <w:t>提供承诺函</w:t>
            </w:r>
            <w:r>
              <w:rPr>
                <w:rFonts w:hint="eastAsia" w:ascii="宋体" w:hAnsi="宋体" w:eastAsia="宋体" w:cs="宋体"/>
                <w:color w:val="auto"/>
                <w:sz w:val="21"/>
                <w:szCs w:val="21"/>
                <w:highlight w:val="none"/>
                <w:lang w:eastAsia="zh-CN"/>
              </w:rPr>
              <w:t>。</w:t>
            </w:r>
          </w:p>
          <w:p w14:paraId="3D0F4E0A">
            <w:pPr>
              <w:numPr>
                <w:ilvl w:val="-1"/>
                <w:numId w:val="0"/>
              </w:numPr>
              <w:adjustRightInd w:val="0"/>
              <w:snapToGrid w:val="0"/>
              <w:spacing w:line="300" w:lineRule="exact"/>
              <w:ind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12.服务时效</w:t>
            </w:r>
            <w:r>
              <w:rPr>
                <w:rFonts w:hint="eastAsia" w:ascii="宋体" w:hAnsi="宋体" w:cs="宋体"/>
                <w:color w:val="auto"/>
                <w:sz w:val="21"/>
                <w:szCs w:val="21"/>
                <w:highlight w:val="none"/>
                <w:lang w:val="en-US" w:eastAsia="zh-CN"/>
              </w:rPr>
              <w:t>：</w:t>
            </w:r>
          </w:p>
          <w:p w14:paraId="7912FF9F">
            <w:pPr>
              <w:numPr>
                <w:ilvl w:val="-1"/>
                <w:numId w:val="0"/>
              </w:numPr>
              <w:adjustRightInd w:val="0"/>
              <w:snapToGrid w:val="0"/>
              <w:spacing w:line="300" w:lineRule="exact"/>
              <w:ind w:firstLine="0" w:firstLineChars="0"/>
              <w:rPr>
                <w:rFonts w:hint="default" w:ascii="宋体" w:hAnsi="宋体" w:eastAsia="宋体" w:cs="宋体"/>
                <w:color w:val="auto"/>
                <w:sz w:val="21"/>
                <w:szCs w:val="21"/>
                <w:highlight w:val="none"/>
                <w:lang w:val="en-US" w:eastAsia="zh-CN"/>
              </w:rPr>
            </w:pPr>
          </w:p>
          <w:tbl>
            <w:tblPr>
              <w:tblStyle w:val="15"/>
              <w:tblpPr w:leftFromText="180" w:rightFromText="180" w:vertAnchor="text" w:horzAnchor="page" w:tblpXSpec="center" w:tblpY="40"/>
              <w:tblOverlap w:val="never"/>
              <w:tblW w:w="5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677"/>
              <w:gridCol w:w="1736"/>
              <w:gridCol w:w="1728"/>
            </w:tblGrid>
            <w:tr w14:paraId="27722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717" w:type="dxa"/>
                  <w:noWrap/>
                  <w:vAlign w:val="center"/>
                </w:tcPr>
                <w:p w14:paraId="39F15CE9">
                  <w:pPr>
                    <w:widowControl/>
                    <w:spacing w:before="0" w:after="0"/>
                    <w:jc w:val="center"/>
                    <w:textAlignment w:val="auto"/>
                    <w:rPr>
                      <w:rFonts w:hint="default" w:ascii="Times New Roman" w:hAnsi="Times New Roman" w:cs="Times New Roman"/>
                      <w:b/>
                      <w:bCs/>
                      <w:color w:val="auto"/>
                      <w:kern w:val="2"/>
                      <w:sz w:val="21"/>
                      <w:szCs w:val="24"/>
                    </w:rPr>
                  </w:pPr>
                  <w:r>
                    <w:rPr>
                      <w:rFonts w:hint="default" w:ascii="Times New Roman" w:hAnsi="Times New Roman" w:cs="Times New Roman"/>
                      <w:b/>
                      <w:bCs/>
                      <w:color w:val="auto"/>
                      <w:kern w:val="2"/>
                      <w:sz w:val="21"/>
                      <w:szCs w:val="24"/>
                    </w:rPr>
                    <w:t>服务</w:t>
                  </w:r>
                </w:p>
                <w:p w14:paraId="27D5B14A">
                  <w:pPr>
                    <w:widowControl/>
                    <w:spacing w:before="0" w:after="0"/>
                    <w:jc w:val="center"/>
                    <w:textAlignment w:val="auto"/>
                    <w:rPr>
                      <w:rFonts w:hint="default" w:ascii="Times New Roman" w:hAnsi="Times New Roman" w:cs="Times New Roman"/>
                      <w:kern w:val="2"/>
                      <w:sz w:val="21"/>
                      <w:szCs w:val="24"/>
                    </w:rPr>
                  </w:pPr>
                  <w:r>
                    <w:rPr>
                      <w:rFonts w:hint="default" w:ascii="Times New Roman" w:hAnsi="Times New Roman" w:cs="Times New Roman"/>
                      <w:b/>
                      <w:bCs/>
                      <w:color w:val="auto"/>
                      <w:kern w:val="2"/>
                      <w:sz w:val="21"/>
                      <w:szCs w:val="24"/>
                    </w:rPr>
                    <w:t>类型</w:t>
                  </w:r>
                </w:p>
              </w:tc>
              <w:tc>
                <w:tcPr>
                  <w:tcW w:w="1677" w:type="dxa"/>
                  <w:noWrap/>
                  <w:vAlign w:val="center"/>
                </w:tcPr>
                <w:p w14:paraId="4BFF21D9">
                  <w:pPr>
                    <w:widowControl/>
                    <w:spacing w:before="0" w:after="0"/>
                    <w:ind w:left="0"/>
                    <w:jc w:val="center"/>
                    <w:textAlignment w:val="auto"/>
                    <w:rPr>
                      <w:rFonts w:hint="default" w:ascii="Times New Roman" w:hAnsi="Times New Roman" w:cs="Times New Roman"/>
                      <w:b w:val="0"/>
                      <w:bCs w:val="0"/>
                      <w:kern w:val="2"/>
                      <w:sz w:val="21"/>
                      <w:szCs w:val="24"/>
                    </w:rPr>
                  </w:pPr>
                  <w:r>
                    <w:rPr>
                      <w:rFonts w:hint="default" w:ascii="Times New Roman" w:hAnsi="Times New Roman" w:cs="Times New Roman"/>
                      <w:b/>
                      <w:bCs/>
                      <w:color w:val="auto"/>
                      <w:kern w:val="2"/>
                      <w:sz w:val="21"/>
                      <w:szCs w:val="24"/>
                    </w:rPr>
                    <w:t>紧急故障</w:t>
                  </w:r>
                  <w:r>
                    <w:rPr>
                      <w:rFonts w:hint="default" w:ascii="Times New Roman" w:hAnsi="Times New Roman" w:cs="Times New Roman"/>
                      <w:b w:val="0"/>
                      <w:color w:val="auto"/>
                      <w:kern w:val="2"/>
                      <w:sz w:val="21"/>
                      <w:szCs w:val="24"/>
                    </w:rPr>
                    <w:br w:type="textWrapping"/>
                  </w:r>
                  <w:r>
                    <w:rPr>
                      <w:rFonts w:hint="default" w:ascii="Times New Roman" w:hAnsi="Times New Roman" w:cs="Times New Roman"/>
                      <w:b w:val="0"/>
                      <w:color w:val="auto"/>
                      <w:kern w:val="2"/>
                      <w:sz w:val="16"/>
                      <w:szCs w:val="20"/>
                    </w:rPr>
                    <w:t>（</w:t>
                  </w:r>
                  <w:r>
                    <w:rPr>
                      <w:rFonts w:hint="default"/>
                      <w:sz w:val="16"/>
                      <w:szCs w:val="20"/>
                    </w:rPr>
                    <w:t>系统瘫痪或不能收费</w:t>
                  </w:r>
                  <w:r>
                    <w:rPr>
                      <w:rFonts w:hint="default" w:ascii="Times New Roman" w:hAnsi="Times New Roman" w:cs="Times New Roman"/>
                      <w:b w:val="0"/>
                      <w:color w:val="auto"/>
                      <w:kern w:val="2"/>
                      <w:sz w:val="16"/>
                      <w:szCs w:val="20"/>
                    </w:rPr>
                    <w:t>）</w:t>
                  </w:r>
                </w:p>
              </w:tc>
              <w:tc>
                <w:tcPr>
                  <w:tcW w:w="1736" w:type="dxa"/>
                  <w:noWrap/>
                  <w:vAlign w:val="center"/>
                </w:tcPr>
                <w:p w14:paraId="15C263FE">
                  <w:pPr>
                    <w:widowControl/>
                    <w:spacing w:before="0" w:after="0"/>
                    <w:ind w:left="0"/>
                    <w:jc w:val="center"/>
                    <w:textAlignment w:val="auto"/>
                    <w:rPr>
                      <w:rFonts w:hint="default" w:ascii="Times New Roman" w:hAnsi="Times New Roman" w:cs="Times New Roman"/>
                      <w:b w:val="0"/>
                      <w:bCs w:val="0"/>
                      <w:kern w:val="2"/>
                      <w:sz w:val="21"/>
                      <w:szCs w:val="24"/>
                    </w:rPr>
                  </w:pPr>
                  <w:r>
                    <w:rPr>
                      <w:rFonts w:hint="default" w:ascii="Times New Roman" w:hAnsi="Times New Roman" w:cs="Times New Roman"/>
                      <w:b/>
                      <w:bCs/>
                      <w:color w:val="auto"/>
                      <w:kern w:val="2"/>
                      <w:sz w:val="21"/>
                      <w:szCs w:val="24"/>
                    </w:rPr>
                    <w:t>重要故障</w:t>
                  </w:r>
                  <w:r>
                    <w:rPr>
                      <w:rFonts w:hint="default" w:ascii="Times New Roman" w:hAnsi="Times New Roman" w:cs="Times New Roman"/>
                      <w:b w:val="0"/>
                      <w:color w:val="auto"/>
                      <w:kern w:val="2"/>
                      <w:sz w:val="21"/>
                      <w:szCs w:val="24"/>
                    </w:rPr>
                    <w:br w:type="textWrapping"/>
                  </w:r>
                  <w:r>
                    <w:rPr>
                      <w:rFonts w:hint="default" w:ascii="Times New Roman" w:hAnsi="Times New Roman" w:cs="Times New Roman"/>
                      <w:b w:val="0"/>
                      <w:color w:val="auto"/>
                      <w:kern w:val="2"/>
                      <w:sz w:val="16"/>
                      <w:szCs w:val="20"/>
                    </w:rPr>
                    <w:t>（</w:t>
                  </w:r>
                  <w:r>
                    <w:rPr>
                      <w:rFonts w:hint="default"/>
                      <w:sz w:val="16"/>
                      <w:szCs w:val="20"/>
                    </w:rPr>
                    <w:t>偶发故障或道闸问题</w:t>
                  </w:r>
                  <w:r>
                    <w:rPr>
                      <w:rFonts w:hint="default" w:ascii="Times New Roman" w:hAnsi="Times New Roman" w:cs="Times New Roman"/>
                      <w:b w:val="0"/>
                      <w:color w:val="auto"/>
                      <w:kern w:val="2"/>
                      <w:sz w:val="16"/>
                      <w:szCs w:val="20"/>
                    </w:rPr>
                    <w:t>）</w:t>
                  </w:r>
                </w:p>
              </w:tc>
              <w:tc>
                <w:tcPr>
                  <w:tcW w:w="1728" w:type="dxa"/>
                  <w:noWrap/>
                  <w:vAlign w:val="center"/>
                </w:tcPr>
                <w:p w14:paraId="5D82B8CD">
                  <w:pPr>
                    <w:widowControl/>
                    <w:spacing w:before="0" w:after="0"/>
                    <w:ind w:left="0"/>
                    <w:jc w:val="center"/>
                    <w:textAlignment w:val="auto"/>
                    <w:rPr>
                      <w:rFonts w:hint="default" w:ascii="Times New Roman" w:hAnsi="Times New Roman" w:cs="Times New Roman"/>
                      <w:b/>
                      <w:bCs/>
                      <w:color w:val="auto"/>
                      <w:kern w:val="2"/>
                      <w:sz w:val="21"/>
                      <w:szCs w:val="24"/>
                    </w:rPr>
                  </w:pPr>
                  <w:r>
                    <w:rPr>
                      <w:rFonts w:hint="default" w:ascii="Times New Roman" w:hAnsi="Times New Roman" w:cs="Times New Roman"/>
                      <w:b/>
                      <w:bCs/>
                      <w:color w:val="auto"/>
                      <w:sz w:val="21"/>
                      <w:szCs w:val="24"/>
                    </w:rPr>
                    <w:t>普通</w:t>
                  </w:r>
                  <w:r>
                    <w:rPr>
                      <w:rFonts w:hint="default" w:ascii="Times New Roman" w:hAnsi="Times New Roman" w:cs="Times New Roman"/>
                      <w:b/>
                      <w:bCs/>
                      <w:color w:val="auto"/>
                      <w:kern w:val="2"/>
                      <w:sz w:val="21"/>
                      <w:szCs w:val="24"/>
                    </w:rPr>
                    <w:t>故障</w:t>
                  </w:r>
                </w:p>
                <w:p w14:paraId="7AF86CC8">
                  <w:pPr>
                    <w:widowControl/>
                    <w:spacing w:before="0" w:after="0"/>
                    <w:ind w:left="0"/>
                    <w:jc w:val="center"/>
                    <w:textAlignment w:val="auto"/>
                    <w:rPr>
                      <w:rFonts w:hint="default" w:ascii="Times New Roman" w:hAnsi="Times New Roman" w:cs="Times New Roman"/>
                      <w:b w:val="0"/>
                      <w:bCs w:val="0"/>
                      <w:kern w:val="2"/>
                      <w:sz w:val="21"/>
                      <w:szCs w:val="24"/>
                    </w:rPr>
                  </w:pPr>
                  <w:r>
                    <w:rPr>
                      <w:rFonts w:hint="default" w:ascii="Times New Roman" w:hAnsi="Times New Roman" w:cs="Times New Roman"/>
                      <w:b w:val="0"/>
                      <w:color w:val="auto"/>
                      <w:kern w:val="2"/>
                      <w:sz w:val="16"/>
                      <w:szCs w:val="20"/>
                    </w:rPr>
                    <w:t>（</w:t>
                  </w:r>
                  <w:r>
                    <w:rPr>
                      <w:rFonts w:hint="default"/>
                      <w:sz w:val="16"/>
                      <w:szCs w:val="20"/>
                    </w:rPr>
                    <w:t>影响体验</w:t>
                  </w:r>
                  <w:r>
                    <w:rPr>
                      <w:rFonts w:hint="default" w:ascii="Times New Roman" w:hAnsi="Times New Roman" w:cs="Times New Roman"/>
                      <w:b w:val="0"/>
                      <w:color w:val="auto"/>
                      <w:kern w:val="2"/>
                      <w:sz w:val="16"/>
                      <w:szCs w:val="20"/>
                    </w:rPr>
                    <w:t>）</w:t>
                  </w:r>
                </w:p>
              </w:tc>
            </w:tr>
            <w:tr w14:paraId="64540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17" w:type="dxa"/>
                  <w:noWrap/>
                  <w:vAlign w:val="center"/>
                </w:tcPr>
                <w:p w14:paraId="032ED510">
                  <w:pPr>
                    <w:widowControl/>
                    <w:spacing w:before="0" w:after="0"/>
                    <w:jc w:val="center"/>
                    <w:textAlignment w:val="auto"/>
                    <w:rPr>
                      <w:rFonts w:hint="default" w:ascii="Times New Roman" w:hAnsi="Times New Roman" w:cs="Times New Roman"/>
                      <w:b w:val="0"/>
                      <w:bCs w:val="0"/>
                      <w:color w:val="auto"/>
                      <w:kern w:val="2"/>
                      <w:sz w:val="21"/>
                      <w:szCs w:val="24"/>
                    </w:rPr>
                  </w:pPr>
                  <w:r>
                    <w:rPr>
                      <w:rFonts w:hint="default" w:ascii="Times New Roman" w:hAnsi="Times New Roman" w:cs="Times New Roman"/>
                      <w:b w:val="0"/>
                      <w:bCs w:val="0"/>
                      <w:color w:val="auto"/>
                      <w:kern w:val="2"/>
                      <w:sz w:val="21"/>
                      <w:szCs w:val="24"/>
                    </w:rPr>
                    <w:t>远程</w:t>
                  </w:r>
                </w:p>
                <w:p w14:paraId="6220BC27">
                  <w:pPr>
                    <w:widowControl/>
                    <w:spacing w:before="0" w:after="0"/>
                    <w:jc w:val="center"/>
                    <w:textAlignment w:val="auto"/>
                    <w:rPr>
                      <w:rFonts w:hint="default" w:ascii="Times New Roman" w:hAnsi="Times New Roman" w:cs="Times New Roman"/>
                      <w:b w:val="0"/>
                      <w:bCs w:val="0"/>
                      <w:color w:val="auto"/>
                      <w:kern w:val="2"/>
                      <w:sz w:val="21"/>
                      <w:szCs w:val="24"/>
                    </w:rPr>
                  </w:pPr>
                  <w:r>
                    <w:rPr>
                      <w:rFonts w:hint="default" w:ascii="Times New Roman" w:hAnsi="Times New Roman" w:cs="Times New Roman"/>
                      <w:b w:val="0"/>
                      <w:bCs w:val="0"/>
                      <w:color w:val="auto"/>
                      <w:kern w:val="2"/>
                      <w:sz w:val="21"/>
                      <w:szCs w:val="24"/>
                    </w:rPr>
                    <w:t>服务</w:t>
                  </w:r>
                </w:p>
              </w:tc>
              <w:tc>
                <w:tcPr>
                  <w:tcW w:w="1677" w:type="dxa"/>
                  <w:noWrap/>
                  <w:vAlign w:val="center"/>
                </w:tcPr>
                <w:p w14:paraId="1CDF05BA">
                  <w:pPr>
                    <w:widowControl/>
                    <w:spacing w:before="0" w:after="0"/>
                    <w:jc w:val="center"/>
                    <w:textAlignment w:val="auto"/>
                    <w:rPr>
                      <w:rFonts w:hint="default" w:ascii="Times New Roman" w:hAnsi="Times New Roman" w:cs="Times New Roman"/>
                      <w:color w:val="auto"/>
                      <w:kern w:val="2"/>
                      <w:sz w:val="21"/>
                      <w:szCs w:val="24"/>
                    </w:rPr>
                  </w:pPr>
                  <w:r>
                    <w:rPr>
                      <w:rFonts w:hint="default" w:ascii="Times New Roman" w:hAnsi="Times New Roman" w:cs="Times New Roman"/>
                      <w:color w:val="auto"/>
                      <w:kern w:val="2"/>
                      <w:sz w:val="21"/>
                      <w:szCs w:val="24"/>
                    </w:rPr>
                    <w:t>20分钟</w:t>
                  </w:r>
                </w:p>
              </w:tc>
              <w:tc>
                <w:tcPr>
                  <w:tcW w:w="1736" w:type="dxa"/>
                  <w:noWrap/>
                  <w:vAlign w:val="center"/>
                </w:tcPr>
                <w:p w14:paraId="32EB7714">
                  <w:pPr>
                    <w:widowControl/>
                    <w:spacing w:before="0" w:after="0"/>
                    <w:jc w:val="center"/>
                    <w:textAlignment w:val="auto"/>
                    <w:rPr>
                      <w:rFonts w:hint="default" w:ascii="Times New Roman" w:hAnsi="Times New Roman" w:cs="Times New Roman"/>
                      <w:color w:val="auto"/>
                      <w:kern w:val="2"/>
                      <w:sz w:val="21"/>
                      <w:szCs w:val="24"/>
                    </w:rPr>
                  </w:pPr>
                  <w:r>
                    <w:rPr>
                      <w:rFonts w:hint="default" w:ascii="Times New Roman" w:hAnsi="Times New Roman" w:cs="Times New Roman"/>
                      <w:color w:val="auto"/>
                      <w:kern w:val="2"/>
                      <w:sz w:val="21"/>
                      <w:szCs w:val="24"/>
                    </w:rPr>
                    <w:t>30分钟</w:t>
                  </w:r>
                </w:p>
              </w:tc>
              <w:tc>
                <w:tcPr>
                  <w:tcW w:w="1728" w:type="dxa"/>
                  <w:noWrap/>
                  <w:vAlign w:val="center"/>
                </w:tcPr>
                <w:p w14:paraId="0E441130">
                  <w:pPr>
                    <w:widowControl/>
                    <w:spacing w:before="0" w:after="0"/>
                    <w:jc w:val="center"/>
                    <w:textAlignment w:val="auto"/>
                    <w:rPr>
                      <w:rFonts w:hint="default" w:ascii="Times New Roman" w:hAnsi="Times New Roman" w:cs="Times New Roman"/>
                      <w:color w:val="auto"/>
                      <w:kern w:val="2"/>
                      <w:sz w:val="21"/>
                      <w:szCs w:val="24"/>
                    </w:rPr>
                  </w:pPr>
                  <w:r>
                    <w:rPr>
                      <w:rFonts w:hint="default" w:ascii="Times New Roman" w:hAnsi="Times New Roman" w:cs="Times New Roman"/>
                      <w:color w:val="auto"/>
                      <w:kern w:val="2"/>
                      <w:sz w:val="21"/>
                      <w:szCs w:val="24"/>
                    </w:rPr>
                    <w:t>1小时</w:t>
                  </w:r>
                </w:p>
              </w:tc>
            </w:tr>
            <w:tr w14:paraId="16ACA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17" w:type="dxa"/>
                  <w:shd w:val="clear" w:color="auto" w:fill="auto"/>
                  <w:noWrap/>
                  <w:vAlign w:val="center"/>
                </w:tcPr>
                <w:p w14:paraId="22971C87">
                  <w:pPr>
                    <w:widowControl/>
                    <w:spacing w:before="0" w:after="0"/>
                    <w:jc w:val="center"/>
                    <w:textAlignment w:val="auto"/>
                    <w:rPr>
                      <w:rFonts w:hint="default" w:ascii="Times New Roman" w:hAnsi="Times New Roman" w:cs="Times New Roman"/>
                      <w:b w:val="0"/>
                      <w:bCs w:val="0"/>
                      <w:color w:val="auto"/>
                      <w:kern w:val="2"/>
                      <w:sz w:val="21"/>
                      <w:szCs w:val="24"/>
                    </w:rPr>
                  </w:pPr>
                  <w:r>
                    <w:rPr>
                      <w:rFonts w:hint="default" w:ascii="Times New Roman" w:hAnsi="Times New Roman" w:cs="Times New Roman"/>
                      <w:b w:val="0"/>
                      <w:bCs w:val="0"/>
                      <w:color w:val="auto"/>
                      <w:kern w:val="2"/>
                      <w:sz w:val="21"/>
                      <w:szCs w:val="24"/>
                    </w:rPr>
                    <w:t>到场</w:t>
                  </w:r>
                </w:p>
                <w:p w14:paraId="068B2357">
                  <w:pPr>
                    <w:widowControl/>
                    <w:spacing w:before="0" w:after="0"/>
                    <w:jc w:val="center"/>
                    <w:textAlignment w:val="auto"/>
                    <w:rPr>
                      <w:rFonts w:hint="default" w:ascii="Times New Roman" w:hAnsi="Times New Roman" w:cs="Times New Roman"/>
                      <w:b w:val="0"/>
                      <w:bCs w:val="0"/>
                      <w:color w:val="auto"/>
                      <w:sz w:val="21"/>
                      <w:szCs w:val="24"/>
                    </w:rPr>
                  </w:pPr>
                  <w:r>
                    <w:rPr>
                      <w:rFonts w:hint="default" w:ascii="Times New Roman" w:hAnsi="Times New Roman" w:cs="Times New Roman"/>
                      <w:b w:val="0"/>
                      <w:bCs w:val="0"/>
                      <w:color w:val="auto"/>
                      <w:kern w:val="2"/>
                      <w:sz w:val="21"/>
                      <w:szCs w:val="24"/>
                    </w:rPr>
                    <w:t>时间</w:t>
                  </w:r>
                </w:p>
              </w:tc>
              <w:tc>
                <w:tcPr>
                  <w:tcW w:w="1677" w:type="dxa"/>
                  <w:shd w:val="clear" w:color="auto" w:fill="FFFFFF"/>
                  <w:noWrap/>
                  <w:vAlign w:val="center"/>
                </w:tcPr>
                <w:p w14:paraId="22D78039">
                  <w:pPr>
                    <w:widowControl/>
                    <w:spacing w:before="0" w:after="0"/>
                    <w:ind w:left="0" w:firstLine="0" w:firstLineChars="0"/>
                    <w:jc w:val="center"/>
                    <w:textAlignment w:val="auto"/>
                    <w:rPr>
                      <w:rFonts w:hint="default" w:ascii="Times New Roman" w:hAnsi="Times New Roman" w:cs="Times New Roman"/>
                      <w:color w:val="auto"/>
                      <w:sz w:val="21"/>
                      <w:szCs w:val="24"/>
                    </w:rPr>
                  </w:pPr>
                  <w:r>
                    <w:rPr>
                      <w:rFonts w:hint="default" w:ascii="Times New Roman" w:hAnsi="Times New Roman" w:cs="Times New Roman"/>
                      <w:color w:val="auto"/>
                      <w:kern w:val="2"/>
                      <w:sz w:val="21"/>
                      <w:szCs w:val="24"/>
                    </w:rPr>
                    <w:t>2小时</w:t>
                  </w:r>
                </w:p>
              </w:tc>
              <w:tc>
                <w:tcPr>
                  <w:tcW w:w="1736" w:type="dxa"/>
                  <w:shd w:val="clear" w:color="auto" w:fill="FFFFFF"/>
                  <w:noWrap/>
                  <w:vAlign w:val="center"/>
                </w:tcPr>
                <w:p w14:paraId="405EC65A">
                  <w:pPr>
                    <w:widowControl/>
                    <w:spacing w:before="0" w:after="0"/>
                    <w:ind w:left="0" w:firstLine="0" w:firstLineChars="0"/>
                    <w:jc w:val="center"/>
                    <w:textAlignment w:val="auto"/>
                    <w:rPr>
                      <w:rFonts w:hint="default" w:ascii="Times New Roman" w:hAnsi="Times New Roman" w:cs="Times New Roman"/>
                      <w:color w:val="auto"/>
                      <w:sz w:val="21"/>
                      <w:szCs w:val="24"/>
                    </w:rPr>
                  </w:pPr>
                  <w:r>
                    <w:rPr>
                      <w:rFonts w:hint="default" w:ascii="Times New Roman" w:hAnsi="Times New Roman" w:cs="Times New Roman"/>
                      <w:color w:val="auto"/>
                      <w:kern w:val="2"/>
                      <w:sz w:val="21"/>
                      <w:szCs w:val="24"/>
                    </w:rPr>
                    <w:t>3小时</w:t>
                  </w:r>
                </w:p>
              </w:tc>
              <w:tc>
                <w:tcPr>
                  <w:tcW w:w="1728" w:type="dxa"/>
                  <w:shd w:val="clear" w:color="auto" w:fill="FFFFFF"/>
                  <w:noWrap/>
                  <w:vAlign w:val="center"/>
                </w:tcPr>
                <w:p w14:paraId="0EEC34A7">
                  <w:pPr>
                    <w:widowControl/>
                    <w:spacing w:before="0" w:after="0"/>
                    <w:ind w:left="0" w:firstLine="0" w:firstLineChars="0"/>
                    <w:jc w:val="center"/>
                    <w:textAlignment w:val="auto"/>
                    <w:rPr>
                      <w:rFonts w:hint="default" w:ascii="Times New Roman" w:hAnsi="Times New Roman" w:cs="Times New Roman"/>
                      <w:color w:val="auto"/>
                      <w:sz w:val="21"/>
                      <w:szCs w:val="24"/>
                    </w:rPr>
                  </w:pPr>
                  <w:r>
                    <w:rPr>
                      <w:rFonts w:hint="default" w:ascii="Times New Roman" w:hAnsi="Times New Roman" w:cs="Times New Roman"/>
                      <w:color w:val="auto"/>
                      <w:kern w:val="2"/>
                      <w:sz w:val="21"/>
                      <w:szCs w:val="24"/>
                      <w:lang w:val="en-US" w:eastAsia="zh-CN"/>
                    </w:rPr>
                    <w:t>6</w:t>
                  </w:r>
                  <w:r>
                    <w:rPr>
                      <w:rFonts w:hint="default" w:ascii="Times New Roman" w:hAnsi="Times New Roman" w:cs="Times New Roman"/>
                      <w:color w:val="auto"/>
                      <w:kern w:val="2"/>
                      <w:sz w:val="21"/>
                      <w:szCs w:val="24"/>
                    </w:rPr>
                    <w:t>小时</w:t>
                  </w:r>
                </w:p>
              </w:tc>
            </w:tr>
            <w:tr w14:paraId="52467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5858" w:type="dxa"/>
                  <w:gridSpan w:val="4"/>
                  <w:shd w:val="clear" w:color="auto" w:fill="auto"/>
                  <w:noWrap/>
                  <w:vAlign w:val="center"/>
                </w:tcPr>
                <w:p w14:paraId="6383CC6E">
                  <w:pPr>
                    <w:widowControl/>
                    <w:spacing w:before="0" w:after="0"/>
                    <w:jc w:val="left"/>
                    <w:textAlignment w:val="auto"/>
                    <w:rPr>
                      <w:rFonts w:hint="default" w:ascii="Times New Roman" w:hAnsi="Times New Roman" w:cs="Times New Roman"/>
                      <w:b w:val="0"/>
                      <w:bCs w:val="0"/>
                      <w:color w:val="auto"/>
                      <w:kern w:val="2"/>
                      <w:sz w:val="21"/>
                      <w:szCs w:val="24"/>
                    </w:rPr>
                  </w:pPr>
                  <w:r>
                    <w:rPr>
                      <w:rFonts w:hint="default"/>
                      <w:b w:val="0"/>
                      <w:bCs w:val="0"/>
                      <w:sz w:val="20"/>
                      <w:szCs w:val="22"/>
                    </w:rPr>
                    <w:t>提供7*24h服务，合约期内，自然损坏，所有设备免费维修维护</w:t>
                  </w:r>
                </w:p>
              </w:tc>
            </w:tr>
          </w:tbl>
          <w:p w14:paraId="601838C3">
            <w:pPr>
              <w:numPr>
                <w:ilvl w:val="-1"/>
                <w:numId w:val="0"/>
              </w:numPr>
              <w:adjustRightInd w:val="0"/>
              <w:snapToGrid w:val="0"/>
              <w:spacing w:line="300" w:lineRule="exact"/>
              <w:ind w:firstLine="0" w:firstLineChars="0"/>
              <w:rPr>
                <w:rFonts w:hint="default" w:ascii="宋体" w:hAnsi="宋体" w:eastAsia="宋体" w:cs="宋体"/>
                <w:color w:val="auto"/>
                <w:sz w:val="21"/>
                <w:szCs w:val="21"/>
                <w:highlight w:val="none"/>
                <w:lang w:val="en-US" w:eastAsia="zh-CN"/>
              </w:rPr>
            </w:pPr>
          </w:p>
          <w:p w14:paraId="450BBB2D">
            <w:pPr>
              <w:numPr>
                <w:ilvl w:val="-1"/>
                <w:numId w:val="0"/>
              </w:numPr>
              <w:adjustRightInd w:val="0"/>
              <w:snapToGrid w:val="0"/>
              <w:spacing w:before="0" w:beforeLines="-2147483648" w:line="300" w:lineRule="exact"/>
              <w:ind w:firstLine="420" w:firstLineChars="200"/>
              <w:rPr>
                <w:rFonts w:hint="eastAsia" w:ascii="宋体" w:hAnsi="宋体"/>
                <w:b/>
                <w:bCs/>
                <w:color w:val="auto"/>
                <w:szCs w:val="21"/>
                <w:highlight w:val="none"/>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二</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“▲”标注的</w:t>
            </w:r>
            <w:r>
              <w:rPr>
                <w:rFonts w:hint="eastAsia" w:ascii="宋体" w:hAnsi="宋体" w:cs="宋体"/>
                <w:color w:val="auto"/>
                <w:sz w:val="21"/>
                <w:szCs w:val="21"/>
                <w:highlight w:val="none"/>
                <w:lang w:val="en-US" w:eastAsia="zh-CN"/>
              </w:rPr>
              <w:t>比选</w:t>
            </w:r>
            <w:r>
              <w:rPr>
                <w:rFonts w:hint="eastAsia" w:ascii="宋体" w:hAnsi="宋体" w:eastAsia="宋体" w:cs="宋体"/>
                <w:color w:val="auto"/>
                <w:sz w:val="21"/>
                <w:szCs w:val="21"/>
                <w:highlight w:val="none"/>
              </w:rPr>
              <w:t>项目服务要求为重要服务要求，供应商</w:t>
            </w:r>
            <w:r>
              <w:rPr>
                <w:rFonts w:hint="eastAsia" w:ascii="宋体" w:hAnsi="宋体" w:eastAsia="宋体" w:cs="宋体"/>
                <w:color w:val="auto"/>
                <w:sz w:val="21"/>
                <w:szCs w:val="21"/>
                <w:highlight w:val="none"/>
                <w:lang w:val="en-US" w:eastAsia="zh-CN"/>
              </w:rPr>
              <w:t>需</w:t>
            </w:r>
            <w:r>
              <w:rPr>
                <w:rFonts w:hint="eastAsia" w:ascii="宋体" w:hAnsi="宋体" w:eastAsia="宋体" w:cs="宋体"/>
                <w:color w:val="auto"/>
                <w:sz w:val="21"/>
                <w:szCs w:val="21"/>
                <w:highlight w:val="none"/>
              </w:rPr>
              <w:t>提供相应检测报告。</w:t>
            </w:r>
            <w:bookmarkStart w:id="32" w:name="_Toc12210"/>
            <w:bookmarkStart w:id="33" w:name="_Toc3566"/>
            <w:r>
              <w:rPr>
                <w:rFonts w:hint="eastAsia" w:ascii="宋体" w:hAnsi="宋体" w:eastAsia="宋体" w:cs="宋体"/>
                <w:b w:val="0"/>
                <w:bCs w:val="0"/>
                <w:color w:val="auto"/>
                <w:sz w:val="21"/>
                <w:szCs w:val="21"/>
                <w:highlight w:val="none"/>
              </w:rPr>
              <w:t>服务需求规格</w:t>
            </w:r>
            <w:bookmarkEnd w:id="32"/>
            <w:bookmarkEnd w:id="33"/>
            <w:r>
              <w:rPr>
                <w:rFonts w:hint="eastAsia" w:ascii="宋体" w:hAnsi="宋体" w:eastAsia="宋体" w:cs="宋体"/>
                <w:b w:val="0"/>
                <w:bCs w:val="0"/>
                <w:color w:val="auto"/>
                <w:sz w:val="21"/>
                <w:szCs w:val="21"/>
                <w:highlight w:val="none"/>
                <w:lang w:val="en-US" w:eastAsia="zh-CN"/>
              </w:rPr>
              <w:t>见附件一</w:t>
            </w:r>
          </w:p>
          <w:p w14:paraId="07CEF006">
            <w:pPr>
              <w:numPr>
                <w:ilvl w:val="-1"/>
                <w:numId w:val="0"/>
              </w:numPr>
              <w:adjustRightInd w:val="0"/>
              <w:snapToGrid w:val="0"/>
              <w:spacing w:before="0" w:beforeLines="-2147483648" w:line="300" w:lineRule="exact"/>
              <w:ind w:firstLine="422" w:firstLineChars="200"/>
              <w:rPr>
                <w:rFonts w:hint="eastAsia" w:ascii="宋体" w:hAnsi="宋体"/>
                <w:b/>
                <w:bCs/>
                <w:color w:val="auto"/>
                <w:szCs w:val="21"/>
                <w:highlight w:val="none"/>
              </w:rPr>
            </w:pPr>
          </w:p>
          <w:p w14:paraId="1D9DB70B">
            <w:pPr>
              <w:numPr>
                <w:ilvl w:val="-1"/>
                <w:numId w:val="0"/>
              </w:numPr>
              <w:adjustRightInd w:val="0"/>
              <w:snapToGrid w:val="0"/>
              <w:spacing w:before="0" w:beforeLines="-2147483648" w:line="300" w:lineRule="exact"/>
              <w:ind w:firstLine="422" w:firstLineChars="200"/>
              <w:rPr>
                <w:highlight w:val="none"/>
              </w:rPr>
            </w:pPr>
            <w:r>
              <w:rPr>
                <w:rFonts w:hint="eastAsia" w:ascii="宋体" w:hAnsi="宋体"/>
                <w:b/>
                <w:bCs/>
                <w:color w:val="auto"/>
                <w:szCs w:val="21"/>
                <w:highlight w:val="none"/>
              </w:rPr>
              <w:t>以上仅为基础且必要的工作内容，比选人可在合同履约过程中根据实际情况对服务内容进行调整，比选申请人不得有异议，比选申请人服务内容及成果需满足</w:t>
            </w:r>
            <w:r>
              <w:rPr>
                <w:rFonts w:hint="eastAsia" w:ascii="宋体" w:hAnsi="宋体"/>
                <w:b/>
                <w:bCs/>
                <w:color w:val="auto"/>
                <w:szCs w:val="21"/>
                <w:highlight w:val="none"/>
                <w:lang w:eastAsia="zh-CN"/>
              </w:rPr>
              <w:t>四联集团重分公司</w:t>
            </w:r>
            <w:r>
              <w:rPr>
                <w:rFonts w:hint="eastAsia" w:ascii="宋体" w:hAnsi="宋体"/>
                <w:b/>
                <w:bCs/>
                <w:color w:val="auto"/>
                <w:szCs w:val="21"/>
                <w:highlight w:val="none"/>
                <w:lang w:val="en-US" w:eastAsia="zh-CN"/>
              </w:rPr>
              <w:t>采购比选</w:t>
            </w:r>
            <w:r>
              <w:rPr>
                <w:rFonts w:hint="eastAsia" w:ascii="宋体" w:hAnsi="宋体"/>
                <w:b/>
                <w:bCs/>
                <w:color w:val="auto"/>
                <w:szCs w:val="21"/>
                <w:highlight w:val="none"/>
              </w:rPr>
              <w:t>小组验收合格</w:t>
            </w:r>
            <w:r>
              <w:rPr>
                <w:rFonts w:hint="eastAsia" w:ascii="宋体" w:hAnsi="宋体"/>
                <w:b/>
                <w:bCs/>
                <w:color w:val="auto"/>
                <w:szCs w:val="21"/>
                <w:highlight w:val="none"/>
                <w:lang w:eastAsia="zh-CN"/>
              </w:rPr>
              <w:t>。</w:t>
            </w:r>
          </w:p>
        </w:tc>
      </w:tr>
      <w:tr w14:paraId="7EFC7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Align w:val="center"/>
          </w:tcPr>
          <w:p w14:paraId="4E661A9D">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5</w:t>
            </w:r>
          </w:p>
        </w:tc>
        <w:tc>
          <w:tcPr>
            <w:tcW w:w="1942" w:type="dxa"/>
            <w:vAlign w:val="center"/>
          </w:tcPr>
          <w:p w14:paraId="014CCD59">
            <w:pPr>
              <w:adjustRightInd w:val="0"/>
              <w:snapToGrid w:val="0"/>
              <w:spacing w:line="300" w:lineRule="exac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服务完成日期</w:t>
            </w:r>
          </w:p>
          <w:p w14:paraId="316FFC8C">
            <w:pPr>
              <w:adjustRightInd w:val="0"/>
              <w:snapToGrid w:val="0"/>
              <w:spacing w:line="300" w:lineRule="exact"/>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及验收</w:t>
            </w:r>
          </w:p>
        </w:tc>
        <w:tc>
          <w:tcPr>
            <w:tcW w:w="7088" w:type="dxa"/>
            <w:vAlign w:val="center"/>
          </w:tcPr>
          <w:p w14:paraId="0F8D33EB">
            <w:pPr>
              <w:numPr>
                <w:ilvl w:val="0"/>
                <w:numId w:val="1"/>
              </w:numPr>
              <w:adjustRightInd w:val="0"/>
              <w:snapToGrid w:val="0"/>
              <w:spacing w:line="300" w:lineRule="exact"/>
              <w:rPr>
                <w:rFonts w:ascii="宋体" w:hAnsi="宋体" w:cs="宋体"/>
                <w:color w:val="auto"/>
                <w:szCs w:val="21"/>
                <w:highlight w:val="none"/>
              </w:rPr>
            </w:pPr>
            <w:r>
              <w:rPr>
                <w:rFonts w:hint="eastAsia" w:ascii="宋体" w:hAnsi="宋体" w:cs="宋体"/>
                <w:color w:val="auto"/>
                <w:szCs w:val="21"/>
                <w:highlight w:val="none"/>
              </w:rPr>
              <w:t>合同签订后   10  日历天内完成道闸硬件及软件</w:t>
            </w:r>
            <w:r>
              <w:rPr>
                <w:rFonts w:hint="eastAsia" w:ascii="宋体" w:hAnsi="宋体" w:cs="宋体"/>
                <w:color w:val="auto"/>
                <w:szCs w:val="21"/>
                <w:highlight w:val="none"/>
                <w:lang w:val="en-US" w:eastAsia="zh-CN"/>
              </w:rPr>
              <w:t>安装及调试</w:t>
            </w:r>
            <w:r>
              <w:rPr>
                <w:rFonts w:hint="eastAsia" w:ascii="宋体" w:hAnsi="宋体" w:cs="宋体"/>
                <w:color w:val="auto"/>
                <w:szCs w:val="21"/>
                <w:highlight w:val="none"/>
              </w:rPr>
              <w:t>工作，并向比选人提出验收申请，四联集团重分公司采购</w:t>
            </w:r>
            <w:r>
              <w:rPr>
                <w:rFonts w:hint="eastAsia" w:ascii="宋体" w:hAnsi="宋体" w:cs="宋体"/>
                <w:color w:val="auto"/>
                <w:szCs w:val="21"/>
                <w:highlight w:val="none"/>
                <w:lang w:val="en-US" w:eastAsia="zh-CN"/>
              </w:rPr>
              <w:t>比选</w:t>
            </w:r>
            <w:r>
              <w:rPr>
                <w:rFonts w:hint="eastAsia" w:ascii="宋体" w:hAnsi="宋体" w:cs="宋体"/>
                <w:color w:val="auto"/>
                <w:szCs w:val="21"/>
                <w:highlight w:val="none"/>
              </w:rPr>
              <w:t>小组</w:t>
            </w:r>
            <w:r>
              <w:rPr>
                <w:rFonts w:hint="eastAsia" w:ascii="宋体" w:hAnsi="宋体" w:cs="宋体"/>
                <w:color w:val="auto"/>
                <w:szCs w:val="21"/>
                <w:highlight w:val="none"/>
                <w:lang w:val="en-US" w:eastAsia="zh-CN"/>
              </w:rPr>
              <w:t>按照招投标文件及合同进行</w:t>
            </w:r>
            <w:r>
              <w:rPr>
                <w:rFonts w:hint="eastAsia" w:ascii="宋体" w:hAnsi="宋体" w:cs="宋体"/>
                <w:color w:val="auto"/>
                <w:szCs w:val="21"/>
                <w:highlight w:val="none"/>
              </w:rPr>
              <w:t>验收。</w:t>
            </w:r>
          </w:p>
          <w:p w14:paraId="31E5E516">
            <w:pPr>
              <w:numPr>
                <w:ilvl w:val="0"/>
                <w:numId w:val="1"/>
              </w:numPr>
              <w:adjustRightInd w:val="0"/>
              <w:snapToGrid w:val="0"/>
              <w:spacing w:line="300" w:lineRule="exact"/>
              <w:rPr>
                <w:rFonts w:ascii="宋体" w:hAnsi="宋体" w:cs="宋体"/>
                <w:color w:val="auto"/>
                <w:szCs w:val="21"/>
                <w:highlight w:val="none"/>
              </w:rPr>
            </w:pPr>
            <w:r>
              <w:rPr>
                <w:rFonts w:hint="eastAsia" w:ascii="宋体" w:hAnsi="宋体" w:cs="宋体"/>
                <w:color w:val="auto"/>
                <w:szCs w:val="21"/>
                <w:highlight w:val="none"/>
              </w:rPr>
              <w:t>供应商应提供完备的技术资料、相应证书证明文件等。提供原厂商主要设备的检测报告及合格证</w:t>
            </w:r>
            <w:r>
              <w:rPr>
                <w:rFonts w:hint="eastAsia" w:ascii="宋体" w:hAnsi="宋体" w:cs="宋体"/>
                <w:color w:val="auto"/>
                <w:szCs w:val="21"/>
                <w:highlight w:val="none"/>
                <w:lang w:eastAsia="zh-CN"/>
              </w:rPr>
              <w:t>。</w:t>
            </w:r>
          </w:p>
          <w:p w14:paraId="0B16136F">
            <w:pPr>
              <w:numPr>
                <w:ilvl w:val="0"/>
                <w:numId w:val="1"/>
              </w:numPr>
              <w:adjustRightInd w:val="0"/>
              <w:snapToGrid w:val="0"/>
              <w:spacing w:line="300" w:lineRule="exact"/>
              <w:rPr>
                <w:rFonts w:ascii="宋体" w:hAnsi="宋体" w:cs="宋体"/>
                <w:color w:val="auto"/>
                <w:szCs w:val="21"/>
                <w:highlight w:val="none"/>
              </w:rPr>
            </w:pPr>
            <w:r>
              <w:rPr>
                <w:rFonts w:hint="eastAsia" w:ascii="宋体" w:hAnsi="宋体" w:cs="宋体"/>
                <w:color w:val="auto"/>
                <w:szCs w:val="21"/>
                <w:highlight w:val="none"/>
              </w:rPr>
              <w:t>验收合格条件如下：服务内容清单与采购合同一致。服务内容技术资料等资料齐全。在规定时间内完成前期准备工作并验收，并经本单位确认</w:t>
            </w:r>
            <w:r>
              <w:rPr>
                <w:rFonts w:hint="eastAsia" w:ascii="宋体" w:hAnsi="宋体" w:cs="宋体"/>
                <w:color w:val="auto"/>
                <w:szCs w:val="21"/>
                <w:highlight w:val="none"/>
                <w:lang w:eastAsia="zh-CN"/>
              </w:rPr>
              <w:t>。</w:t>
            </w:r>
          </w:p>
        </w:tc>
      </w:tr>
      <w:tr w14:paraId="1A36C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7" w:type="dxa"/>
            <w:vAlign w:val="center"/>
          </w:tcPr>
          <w:p w14:paraId="6D6C60C1">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6</w:t>
            </w:r>
          </w:p>
        </w:tc>
        <w:tc>
          <w:tcPr>
            <w:tcW w:w="1942" w:type="dxa"/>
            <w:vAlign w:val="center"/>
          </w:tcPr>
          <w:p w14:paraId="0861A171">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比选申请人资质条件</w:t>
            </w:r>
          </w:p>
        </w:tc>
        <w:tc>
          <w:tcPr>
            <w:tcW w:w="7088" w:type="dxa"/>
            <w:vAlign w:val="center"/>
          </w:tcPr>
          <w:p w14:paraId="673A9071">
            <w:pPr>
              <w:spacing w:line="300" w:lineRule="exact"/>
              <w:rPr>
                <w:rFonts w:ascii="宋体" w:hAnsi="宋体" w:cs="宋体"/>
                <w:color w:val="auto"/>
                <w:szCs w:val="21"/>
                <w:highlight w:val="none"/>
              </w:rPr>
            </w:pPr>
            <w:r>
              <w:rPr>
                <w:rFonts w:hint="eastAsia" w:ascii="宋体" w:hAnsi="宋体" w:cs="宋体"/>
                <w:color w:val="auto"/>
                <w:szCs w:val="21"/>
                <w:highlight w:val="none"/>
              </w:rPr>
              <w:t>一、本项目比选实行资格后审，比选申请</w:t>
            </w:r>
            <w:r>
              <w:rPr>
                <w:rFonts w:ascii="宋体" w:hAnsi="宋体" w:cs="宋体"/>
                <w:color w:val="auto"/>
                <w:szCs w:val="21"/>
                <w:highlight w:val="none"/>
              </w:rPr>
              <w:t>方</w:t>
            </w:r>
            <w:r>
              <w:rPr>
                <w:rFonts w:hint="eastAsia" w:ascii="宋体" w:hAnsi="宋体" w:cs="宋体"/>
                <w:color w:val="auto"/>
                <w:szCs w:val="21"/>
                <w:highlight w:val="none"/>
              </w:rPr>
              <w:t>应具备以下资格条件：</w:t>
            </w:r>
          </w:p>
          <w:p w14:paraId="3BF5C93C">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）比选申请人应</w:t>
            </w:r>
            <w:r>
              <w:rPr>
                <w:rFonts w:ascii="宋体" w:hAnsi="宋体"/>
                <w:szCs w:val="21"/>
                <w:highlight w:val="none"/>
              </w:rPr>
              <w:t>具</w:t>
            </w:r>
            <w:r>
              <w:rPr>
                <w:rFonts w:hint="eastAsia" w:ascii="宋体" w:hAnsi="宋体"/>
                <w:szCs w:val="21"/>
                <w:highlight w:val="none"/>
              </w:rPr>
              <w:t>有</w:t>
            </w:r>
            <w:r>
              <w:rPr>
                <w:rFonts w:ascii="宋体" w:hAnsi="宋体"/>
                <w:szCs w:val="21"/>
                <w:highlight w:val="none"/>
              </w:rPr>
              <w:t>独立的法人资格</w:t>
            </w:r>
            <w:r>
              <w:rPr>
                <w:rFonts w:hint="eastAsia" w:ascii="宋体" w:hAnsi="宋体"/>
                <w:szCs w:val="21"/>
                <w:highlight w:val="none"/>
              </w:rPr>
              <w:t>，未被纳入失信执行人名单</w:t>
            </w:r>
            <w:r>
              <w:rPr>
                <w:rFonts w:ascii="宋体" w:hAnsi="宋体"/>
                <w:szCs w:val="21"/>
                <w:highlight w:val="none"/>
              </w:rPr>
              <w:t>；</w:t>
            </w:r>
          </w:p>
          <w:p w14:paraId="76B14B1C">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w:t>
            </w:r>
            <w:r>
              <w:rPr>
                <w:rFonts w:ascii="宋体" w:hAnsi="宋体"/>
                <w:szCs w:val="21"/>
                <w:highlight w:val="none"/>
              </w:rPr>
              <w:t>公司</w:t>
            </w:r>
            <w:r>
              <w:rPr>
                <w:rFonts w:hint="eastAsia" w:ascii="宋体" w:hAnsi="宋体"/>
                <w:color w:val="auto"/>
                <w:szCs w:val="21"/>
                <w:highlight w:val="none"/>
              </w:rPr>
              <w:t>成立时间不得少于</w:t>
            </w:r>
            <w:r>
              <w:rPr>
                <w:rFonts w:hint="eastAsia" w:ascii="宋体" w:hAnsi="宋体"/>
                <w:color w:val="auto"/>
                <w:szCs w:val="21"/>
                <w:highlight w:val="none"/>
                <w:lang w:eastAsia="zh-CN"/>
              </w:rPr>
              <w:t>5</w:t>
            </w:r>
            <w:r>
              <w:rPr>
                <w:rFonts w:ascii="宋体" w:hAnsi="宋体"/>
                <w:color w:val="auto"/>
                <w:szCs w:val="21"/>
                <w:highlight w:val="none"/>
              </w:rPr>
              <w:t>年，且</w:t>
            </w:r>
            <w:r>
              <w:rPr>
                <w:rFonts w:ascii="宋体" w:hAnsi="宋体"/>
                <w:szCs w:val="21"/>
                <w:highlight w:val="none"/>
              </w:rPr>
              <w:t>连续三年正常营业；</w:t>
            </w:r>
          </w:p>
          <w:p w14:paraId="361A9A36">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）具有履行合同所必需的设备和专业服务能力；</w:t>
            </w:r>
          </w:p>
          <w:p w14:paraId="165E3007">
            <w:pPr>
              <w:adjustRightInd w:val="0"/>
              <w:snapToGrid w:val="0"/>
              <w:spacing w:line="300" w:lineRule="exact"/>
              <w:rPr>
                <w:rFonts w:hint="eastAsia" w:ascii="宋体" w:hAnsi="宋体"/>
                <w:szCs w:val="21"/>
                <w:highlight w:val="none"/>
                <w:lang w:eastAsia="zh-CN"/>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）具有良好的商业信誉和健全的财务会计制度</w:t>
            </w:r>
            <w:r>
              <w:rPr>
                <w:rFonts w:hint="eastAsia" w:ascii="宋体" w:hAnsi="宋体"/>
                <w:szCs w:val="21"/>
                <w:highlight w:val="none"/>
                <w:lang w:eastAsia="zh-CN"/>
              </w:rPr>
              <w:t>；</w:t>
            </w:r>
          </w:p>
          <w:p w14:paraId="4EEA60AA">
            <w:pPr>
              <w:adjustRightInd w:val="0"/>
              <w:snapToGrid w:val="0"/>
              <w:spacing w:line="300" w:lineRule="exact"/>
              <w:rPr>
                <w:rFonts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lang w:val="en-US" w:eastAsia="zh-CN"/>
              </w:rPr>
              <w:t>5</w:t>
            </w:r>
            <w:r>
              <w:rPr>
                <w:rFonts w:hint="eastAsia" w:ascii="宋体" w:hAnsi="宋体"/>
                <w:szCs w:val="21"/>
                <w:highlight w:val="none"/>
                <w:lang w:eastAsia="zh-CN"/>
              </w:rPr>
              <w:t>）</w:t>
            </w:r>
            <w:r>
              <w:rPr>
                <w:rFonts w:hint="eastAsia" w:ascii="宋体" w:hAnsi="宋体"/>
                <w:szCs w:val="21"/>
                <w:highlight w:val="none"/>
              </w:rPr>
              <w:t>具有</w:t>
            </w:r>
            <w:r>
              <w:rPr>
                <w:rFonts w:hint="eastAsia" w:ascii="宋体" w:hAnsi="宋体"/>
                <w:szCs w:val="21"/>
                <w:highlight w:val="none"/>
                <w:lang w:val="en-US" w:eastAsia="zh-CN"/>
              </w:rPr>
              <w:t>为</w:t>
            </w:r>
            <w:r>
              <w:rPr>
                <w:rFonts w:hint="eastAsia" w:ascii="宋体" w:hAnsi="宋体"/>
                <w:color w:val="auto"/>
                <w:szCs w:val="21"/>
                <w:highlight w:val="none"/>
              </w:rPr>
              <w:t>重庆市国有</w:t>
            </w:r>
            <w:r>
              <w:rPr>
                <w:rFonts w:ascii="宋体" w:hAnsi="宋体"/>
                <w:color w:val="auto"/>
                <w:szCs w:val="21"/>
                <w:highlight w:val="none"/>
              </w:rPr>
              <w:t>企业</w:t>
            </w:r>
            <w:r>
              <w:rPr>
                <w:rFonts w:hint="eastAsia" w:ascii="宋体" w:hAnsi="宋体"/>
                <w:color w:val="auto"/>
                <w:szCs w:val="21"/>
                <w:highlight w:val="none"/>
                <w:lang w:eastAsia="zh-CN"/>
              </w:rPr>
              <w:t>、</w:t>
            </w:r>
            <w:r>
              <w:rPr>
                <w:rFonts w:ascii="宋体" w:hAnsi="宋体"/>
                <w:color w:val="auto"/>
                <w:szCs w:val="21"/>
                <w:highlight w:val="none"/>
              </w:rPr>
              <w:t>政府部门</w:t>
            </w:r>
            <w:r>
              <w:rPr>
                <w:rFonts w:hint="eastAsia" w:ascii="宋体" w:hAnsi="宋体"/>
                <w:color w:val="auto"/>
                <w:szCs w:val="21"/>
                <w:highlight w:val="none"/>
                <w:lang w:val="en-US" w:eastAsia="zh-CN"/>
              </w:rPr>
              <w:t>或事业单位</w:t>
            </w:r>
            <w:r>
              <w:rPr>
                <w:rFonts w:hint="eastAsia" w:ascii="宋体" w:hAnsi="宋体"/>
                <w:szCs w:val="21"/>
                <w:highlight w:val="none"/>
              </w:rPr>
              <w:t>提供服务</w:t>
            </w:r>
            <w:r>
              <w:rPr>
                <w:rFonts w:hint="eastAsia" w:ascii="宋体" w:hAnsi="宋体"/>
                <w:szCs w:val="21"/>
                <w:highlight w:val="none"/>
                <w:lang w:val="en-US" w:eastAsia="zh-CN"/>
              </w:rPr>
              <w:t>的</w:t>
            </w:r>
            <w:r>
              <w:rPr>
                <w:rFonts w:hint="eastAsia" w:ascii="宋体" w:hAnsi="宋体"/>
                <w:szCs w:val="21"/>
                <w:highlight w:val="none"/>
              </w:rPr>
              <w:t>合作经验；</w:t>
            </w:r>
          </w:p>
          <w:p w14:paraId="42ABC62A">
            <w:pPr>
              <w:adjustRightInd w:val="0"/>
              <w:snapToGrid w:val="0"/>
              <w:spacing w:line="300" w:lineRule="exact"/>
              <w:rPr>
                <w:rFonts w:ascii="宋体" w:hAnsi="宋体"/>
                <w:szCs w:val="21"/>
                <w:highlight w:val="none"/>
              </w:rPr>
            </w:pPr>
            <w:r>
              <w:rPr>
                <w:rFonts w:hint="eastAsia" w:ascii="宋体" w:hAnsi="宋体"/>
                <w:szCs w:val="21"/>
                <w:highlight w:val="none"/>
              </w:rPr>
              <w:t>二、以下情形，不得申请参与本次竞标：</w:t>
            </w:r>
          </w:p>
          <w:p w14:paraId="4C9B877F">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w:t>
            </w:r>
            <w:r>
              <w:rPr>
                <w:rFonts w:ascii="宋体" w:hAnsi="宋体"/>
                <w:szCs w:val="21"/>
                <w:highlight w:val="none"/>
              </w:rPr>
              <w:t>存在不尽职或重大过失，损害客户合法权益的行为的；</w:t>
            </w:r>
          </w:p>
          <w:p w14:paraId="0516BA76">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w:t>
            </w:r>
            <w:r>
              <w:rPr>
                <w:rFonts w:hint="eastAsia" w:ascii="宋体" w:hAnsi="宋体"/>
                <w:color w:val="auto"/>
                <w:highlight w:val="none"/>
              </w:rPr>
              <w:t>受过刑事处罚，近三年未收到司法行政部门的行政处罚或行业处分；</w:t>
            </w:r>
          </w:p>
          <w:p w14:paraId="595C0161">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w:t>
            </w:r>
            <w:r>
              <w:rPr>
                <w:rFonts w:ascii="宋体" w:hAnsi="宋体"/>
                <w:szCs w:val="21"/>
                <w:highlight w:val="none"/>
              </w:rPr>
              <w:t>其他我司认为不适宜为我司提供服务的情形。</w:t>
            </w:r>
          </w:p>
          <w:p w14:paraId="6AE014F2">
            <w:pPr>
              <w:adjustRightInd w:val="0"/>
              <w:snapToGrid w:val="0"/>
              <w:spacing w:line="300" w:lineRule="exact"/>
              <w:rPr>
                <w:rFonts w:ascii="宋体" w:hAnsi="宋体"/>
                <w:szCs w:val="21"/>
                <w:highlight w:val="none"/>
              </w:rPr>
            </w:pPr>
            <w:r>
              <w:rPr>
                <w:rFonts w:hint="eastAsia" w:ascii="宋体" w:hAnsi="宋体"/>
                <w:color w:val="auto"/>
                <w:szCs w:val="21"/>
                <w:highlight w:val="none"/>
              </w:rPr>
              <w:t>三、</w:t>
            </w:r>
            <w:r>
              <w:rPr>
                <w:rFonts w:hint="eastAsia" w:ascii="宋体" w:hAnsi="宋体"/>
                <w:szCs w:val="21"/>
                <w:highlight w:val="none"/>
              </w:rPr>
              <w:t>需提供的申请资料</w:t>
            </w:r>
          </w:p>
          <w:p w14:paraId="6F0180A4">
            <w:pPr>
              <w:adjustRightInd w:val="0"/>
              <w:snapToGrid w:val="0"/>
              <w:spacing w:line="300" w:lineRule="exact"/>
              <w:rPr>
                <w:rFonts w:ascii="宋体" w:hAnsi="宋体"/>
                <w:color w:val="auto"/>
                <w:highlight w:val="none"/>
              </w:rPr>
            </w:pPr>
            <w:r>
              <w:rPr>
                <w:rFonts w:hint="eastAsia" w:ascii="宋体" w:hAnsi="宋体"/>
                <w:color w:val="auto"/>
                <w:highlight w:val="none"/>
              </w:rPr>
              <w:t>（</w:t>
            </w:r>
            <w:r>
              <w:rPr>
                <w:rFonts w:ascii="宋体" w:hAnsi="宋体"/>
                <w:color w:val="auto"/>
                <w:highlight w:val="none"/>
              </w:rPr>
              <w:t>1</w:t>
            </w:r>
            <w:r>
              <w:rPr>
                <w:rFonts w:hint="eastAsia" w:ascii="宋体" w:hAnsi="宋体"/>
                <w:color w:val="auto"/>
                <w:highlight w:val="none"/>
              </w:rPr>
              <w:t>）</w:t>
            </w:r>
            <w:r>
              <w:rPr>
                <w:rFonts w:ascii="宋体" w:hAnsi="宋体"/>
                <w:szCs w:val="21"/>
                <w:highlight w:val="none"/>
              </w:rPr>
              <w:t>申请人</w:t>
            </w:r>
            <w:r>
              <w:rPr>
                <w:rFonts w:hint="eastAsia" w:ascii="宋体" w:hAnsi="宋体"/>
                <w:color w:val="auto"/>
                <w:highlight w:val="none"/>
              </w:rPr>
              <w:t>须提供公司有效营业执照及法人、授权委托书及委托代理人身份证（复印件加盖公章）；</w:t>
            </w:r>
          </w:p>
          <w:p w14:paraId="1A0DFA15">
            <w:pPr>
              <w:adjustRightInd w:val="0"/>
              <w:spacing w:line="300" w:lineRule="exact"/>
              <w:rPr>
                <w:rFonts w:ascii="宋体" w:hAnsi="宋体"/>
                <w:color w:val="auto"/>
                <w:szCs w:val="21"/>
                <w:highlight w:val="none"/>
              </w:rPr>
            </w:pPr>
            <w:r>
              <w:rPr>
                <w:rFonts w:hint="eastAsia" w:ascii="宋体" w:hAnsi="宋体"/>
                <w:color w:val="auto"/>
                <w:highlight w:val="none"/>
              </w:rPr>
              <w:t>（</w:t>
            </w:r>
            <w:r>
              <w:rPr>
                <w:rFonts w:ascii="宋体" w:hAnsi="宋体"/>
                <w:color w:val="auto"/>
                <w:highlight w:val="none"/>
              </w:rPr>
              <w:t>2</w:t>
            </w:r>
            <w:r>
              <w:rPr>
                <w:rFonts w:hint="eastAsia" w:ascii="宋体" w:hAnsi="宋体"/>
                <w:color w:val="auto"/>
                <w:highlight w:val="none"/>
              </w:rPr>
              <w:t>）申请人书面承诺，承诺书加盖公章</w:t>
            </w:r>
            <w:r>
              <w:rPr>
                <w:rFonts w:hint="eastAsia" w:ascii="宋体" w:hAnsi="宋体"/>
                <w:highlight w:val="none"/>
              </w:rPr>
              <w:t>；</w:t>
            </w:r>
          </w:p>
          <w:p w14:paraId="78F1652F">
            <w:pPr>
              <w:adjustRightInd w:val="0"/>
              <w:snapToGrid w:val="0"/>
              <w:spacing w:line="300" w:lineRule="exact"/>
              <w:rPr>
                <w:rFonts w:ascii="宋体" w:hAnsi="宋体" w:cs="宋体"/>
                <w:b/>
                <w:color w:val="auto"/>
                <w:szCs w:val="21"/>
                <w:highlight w:val="none"/>
              </w:rPr>
            </w:pPr>
            <w:r>
              <w:rPr>
                <w:rFonts w:hint="eastAsia" w:ascii="宋体" w:hAnsi="宋体" w:cs="宋体"/>
                <w:b/>
                <w:color w:val="auto"/>
                <w:w w:val="111"/>
                <w:kern w:val="10"/>
                <w:szCs w:val="21"/>
                <w:highlight w:val="none"/>
              </w:rPr>
              <w:t>（</w:t>
            </w:r>
            <w:r>
              <w:rPr>
                <w:rFonts w:hint="eastAsia" w:ascii="宋体" w:hAnsi="宋体" w:cs="宋体"/>
                <w:b/>
                <w:color w:val="auto"/>
                <w:szCs w:val="21"/>
                <w:highlight w:val="none"/>
              </w:rPr>
              <w:t>提交有效的业绩及项目证明材料</w:t>
            </w:r>
            <w:r>
              <w:rPr>
                <w:rFonts w:ascii="宋体" w:hAnsi="宋体" w:cs="宋体"/>
                <w:b/>
                <w:color w:val="auto"/>
                <w:szCs w:val="21"/>
                <w:highlight w:val="none"/>
              </w:rPr>
              <w:t>，如合同</w:t>
            </w:r>
            <w:r>
              <w:rPr>
                <w:rFonts w:hint="eastAsia" w:ascii="宋体" w:hAnsi="宋体" w:cs="宋体"/>
                <w:b/>
                <w:color w:val="auto"/>
                <w:szCs w:val="21"/>
                <w:highlight w:val="none"/>
                <w:lang w:eastAsia="zh-CN"/>
              </w:rPr>
              <w:t>，</w:t>
            </w:r>
            <w:r>
              <w:rPr>
                <w:rFonts w:hint="eastAsia" w:ascii="宋体" w:hAnsi="宋体" w:cs="宋体"/>
                <w:b/>
                <w:color w:val="auto"/>
                <w:szCs w:val="21"/>
                <w:highlight w:val="none"/>
              </w:rPr>
              <w:t>提交合同</w:t>
            </w:r>
            <w:r>
              <w:rPr>
                <w:rFonts w:ascii="宋体" w:hAnsi="宋体" w:cs="宋体"/>
                <w:b/>
                <w:color w:val="auto"/>
                <w:szCs w:val="21"/>
                <w:highlight w:val="none"/>
              </w:rPr>
              <w:t>复印件时可对不便透露的信息进行</w:t>
            </w:r>
            <w:r>
              <w:rPr>
                <w:rFonts w:hint="eastAsia" w:ascii="宋体" w:hAnsi="宋体" w:cs="宋体"/>
                <w:b/>
                <w:color w:val="auto"/>
                <w:szCs w:val="21"/>
                <w:highlight w:val="none"/>
              </w:rPr>
              <w:t>适当</w:t>
            </w:r>
            <w:r>
              <w:rPr>
                <w:rFonts w:ascii="宋体" w:hAnsi="宋体" w:cs="宋体"/>
                <w:b/>
                <w:color w:val="auto"/>
                <w:szCs w:val="21"/>
                <w:highlight w:val="none"/>
              </w:rPr>
              <w:t>处理</w:t>
            </w:r>
            <w:r>
              <w:rPr>
                <w:rFonts w:hint="eastAsia" w:ascii="宋体" w:hAnsi="宋体" w:cs="宋体"/>
                <w:b/>
                <w:color w:val="auto"/>
                <w:szCs w:val="21"/>
                <w:highlight w:val="none"/>
              </w:rPr>
              <w:t>。）</w:t>
            </w:r>
          </w:p>
          <w:p w14:paraId="537E5B13">
            <w:pPr>
              <w:adjustRightInd w:val="0"/>
              <w:snapToGrid w:val="0"/>
              <w:spacing w:line="300" w:lineRule="exact"/>
              <w:rPr>
                <w:rFonts w:ascii="宋体" w:hAnsi="宋体" w:cs="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w:t>
            </w:r>
            <w:r>
              <w:rPr>
                <w:rFonts w:hint="eastAsia" w:ascii="宋体" w:hAnsi="宋体"/>
                <w:color w:val="auto"/>
                <w:highlight w:val="none"/>
              </w:rPr>
              <w:t>提供比选工作方案：</w:t>
            </w:r>
            <w:r>
              <w:rPr>
                <w:rFonts w:ascii="宋体" w:hAnsi="宋体"/>
                <w:color w:val="auto"/>
                <w:highlight w:val="none"/>
              </w:rPr>
              <w:t>方案中需说明拟具体提供的服务内容、服务方式、报价方案（本项目采用固定</w:t>
            </w:r>
            <w:r>
              <w:rPr>
                <w:rFonts w:hint="eastAsia" w:ascii="宋体" w:hAnsi="宋体"/>
                <w:color w:val="auto"/>
                <w:highlight w:val="none"/>
                <w:lang w:val="en-US" w:eastAsia="zh-CN"/>
              </w:rPr>
              <w:t>服务费</w:t>
            </w:r>
            <w:r>
              <w:rPr>
                <w:rFonts w:ascii="宋体" w:hAnsi="宋体"/>
                <w:color w:val="auto"/>
                <w:highlight w:val="none"/>
              </w:rPr>
              <w:t>收费方式）等。</w:t>
            </w:r>
          </w:p>
        </w:tc>
      </w:tr>
      <w:tr w14:paraId="53808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177" w:type="dxa"/>
            <w:vAlign w:val="center"/>
          </w:tcPr>
          <w:p w14:paraId="127301B0">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7</w:t>
            </w:r>
          </w:p>
        </w:tc>
        <w:tc>
          <w:tcPr>
            <w:tcW w:w="1942" w:type="dxa"/>
            <w:vAlign w:val="center"/>
          </w:tcPr>
          <w:p w14:paraId="4FF6B6E2">
            <w:pPr>
              <w:spacing w:line="300" w:lineRule="exact"/>
              <w:jc w:val="center"/>
              <w:rPr>
                <w:rFonts w:ascii="宋体" w:hAnsi="宋体" w:cs="宋体"/>
                <w:color w:val="auto"/>
                <w:szCs w:val="21"/>
                <w:highlight w:val="none"/>
              </w:rPr>
            </w:pPr>
            <w:r>
              <w:rPr>
                <w:rFonts w:hint="eastAsia" w:ascii="宋体" w:hAnsi="宋体" w:cs="宋体"/>
                <w:color w:val="auto"/>
                <w:kern w:val="0"/>
                <w:szCs w:val="21"/>
                <w:highlight w:val="none"/>
              </w:rPr>
              <w:t>服务具体情况了解</w:t>
            </w:r>
          </w:p>
        </w:tc>
        <w:tc>
          <w:tcPr>
            <w:tcW w:w="7088" w:type="dxa"/>
            <w:vAlign w:val="center"/>
          </w:tcPr>
          <w:p w14:paraId="3177CF75">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各申请方</w:t>
            </w:r>
            <w:r>
              <w:rPr>
                <w:rFonts w:ascii="宋体" w:hAnsi="宋体" w:cs="宋体"/>
                <w:color w:val="auto"/>
                <w:kern w:val="0"/>
                <w:szCs w:val="21"/>
                <w:highlight w:val="none"/>
              </w:rPr>
              <w:t>可电话联系，询问服务具体事项。</w:t>
            </w:r>
            <w:r>
              <w:rPr>
                <w:rFonts w:hint="eastAsia" w:ascii="宋体" w:hAnsi="宋体" w:cs="宋体"/>
                <w:color w:val="auto"/>
                <w:kern w:val="0"/>
                <w:szCs w:val="21"/>
                <w:highlight w:val="none"/>
              </w:rPr>
              <w:t>确有需要，可到</w:t>
            </w:r>
            <w:r>
              <w:rPr>
                <w:rFonts w:hint="eastAsia" w:ascii="宋体" w:hAnsi="宋体" w:cs="宋体"/>
                <w:color w:val="auto"/>
                <w:kern w:val="0"/>
                <w:szCs w:val="21"/>
                <w:highlight w:val="none"/>
                <w:lang w:eastAsia="zh-CN"/>
              </w:rPr>
              <w:t>四联集团重分公司</w:t>
            </w:r>
            <w:r>
              <w:rPr>
                <w:rFonts w:hint="eastAsia" w:ascii="宋体" w:hAnsi="宋体" w:cs="宋体"/>
                <w:color w:val="auto"/>
                <w:kern w:val="0"/>
                <w:szCs w:val="21"/>
                <w:highlight w:val="none"/>
                <w:lang w:val="en-US" w:eastAsia="zh-CN"/>
              </w:rPr>
              <w:t>办公点</w:t>
            </w:r>
            <w:r>
              <w:rPr>
                <w:rFonts w:hint="eastAsia" w:ascii="宋体" w:hAnsi="宋体" w:cs="宋体"/>
                <w:color w:val="auto"/>
                <w:kern w:val="0"/>
                <w:szCs w:val="21"/>
                <w:highlight w:val="none"/>
              </w:rPr>
              <w:t>进行交流。</w:t>
            </w:r>
          </w:p>
          <w:p w14:paraId="5F317041">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凡参加比选申请都将视其为对服务内容已充分了解。</w:t>
            </w:r>
          </w:p>
        </w:tc>
      </w:tr>
      <w:tr w14:paraId="693A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77" w:type="dxa"/>
            <w:tcBorders>
              <w:bottom w:val="single" w:color="auto" w:sz="4" w:space="0"/>
            </w:tcBorders>
            <w:vAlign w:val="center"/>
          </w:tcPr>
          <w:p w14:paraId="32846809">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8</w:t>
            </w:r>
          </w:p>
        </w:tc>
        <w:tc>
          <w:tcPr>
            <w:tcW w:w="1942" w:type="dxa"/>
            <w:tcBorders>
              <w:bottom w:val="single" w:color="auto" w:sz="4" w:space="0"/>
            </w:tcBorders>
            <w:vAlign w:val="center"/>
          </w:tcPr>
          <w:p w14:paraId="6B39BFD5">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服务报价</w:t>
            </w:r>
          </w:p>
        </w:tc>
        <w:tc>
          <w:tcPr>
            <w:tcW w:w="7088" w:type="dxa"/>
            <w:tcBorders>
              <w:bottom w:val="single" w:color="auto" w:sz="4" w:space="0"/>
            </w:tcBorders>
            <w:vAlign w:val="center"/>
          </w:tcPr>
          <w:p w14:paraId="539699CC">
            <w:pPr>
              <w:numPr>
                <w:ilvl w:val="-1"/>
                <w:numId w:val="0"/>
              </w:numPr>
              <w:autoSpaceDE w:val="0"/>
              <w:autoSpaceDN w:val="0"/>
              <w:adjustRightInd w:val="0"/>
              <w:snapToGrid w:val="0"/>
              <w:spacing w:line="30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cs="宋体"/>
                <w:color w:val="auto"/>
                <w:kern w:val="0"/>
                <w:szCs w:val="21"/>
                <w:highlight w:val="none"/>
                <w:lang w:val="en-US" w:eastAsia="zh-CN"/>
              </w:rPr>
              <w:t>1</w:t>
            </w:r>
            <w:r>
              <w:rPr>
                <w:rFonts w:ascii="宋体" w:hAnsi="宋体" w:cs="宋体"/>
                <w:color w:val="auto"/>
                <w:kern w:val="0"/>
                <w:szCs w:val="21"/>
                <w:highlight w:val="none"/>
              </w:rPr>
              <w:t>.</w:t>
            </w:r>
            <w:r>
              <w:rPr>
                <w:rFonts w:hint="eastAsia" w:ascii="宋体" w:hAnsi="宋体" w:eastAsia="宋体" w:cs="宋体"/>
                <w:color w:val="auto"/>
                <w:sz w:val="21"/>
                <w:szCs w:val="21"/>
                <w:highlight w:val="none"/>
                <w:lang w:val="en-US" w:eastAsia="zh-CN"/>
              </w:rPr>
              <w:t>本次</w:t>
            </w:r>
            <w:r>
              <w:rPr>
                <w:rFonts w:hint="eastAsia" w:ascii="宋体" w:hAnsi="宋体" w:eastAsia="宋体" w:cs="宋体"/>
                <w:color w:val="auto"/>
                <w:szCs w:val="21"/>
                <w:highlight w:val="none"/>
              </w:rPr>
              <w:t>车库道闸服务采购，</w:t>
            </w:r>
            <w:r>
              <w:rPr>
                <w:rFonts w:hint="eastAsia" w:ascii="宋体" w:hAnsi="宋体" w:eastAsia="宋体" w:cs="宋体"/>
                <w:color w:val="auto"/>
                <w:szCs w:val="21"/>
                <w:highlight w:val="none"/>
                <w:lang w:val="en-US" w:eastAsia="zh-CN"/>
              </w:rPr>
              <w:t>比选人</w:t>
            </w:r>
            <w:r>
              <w:rPr>
                <w:rFonts w:hint="eastAsia" w:ascii="宋体" w:hAnsi="宋体" w:eastAsia="宋体" w:cs="宋体"/>
                <w:color w:val="auto"/>
                <w:szCs w:val="21"/>
                <w:highlight w:val="none"/>
              </w:rPr>
              <w:t>采用不直接购买设备的方式，采用按季度支付</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rPr>
              <w:t>费的方式，</w:t>
            </w:r>
            <w:r>
              <w:rPr>
                <w:rFonts w:hint="eastAsia" w:ascii="宋体" w:hAnsi="宋体" w:eastAsia="宋体" w:cs="宋体"/>
                <w:color w:val="auto"/>
                <w:szCs w:val="21"/>
                <w:highlight w:val="none"/>
                <w:lang w:val="en-US" w:eastAsia="zh-CN"/>
              </w:rPr>
              <w:t>合作期限5年，</w:t>
            </w:r>
            <w:r>
              <w:rPr>
                <w:rFonts w:hint="eastAsia" w:ascii="宋体" w:hAnsi="宋体" w:eastAsia="宋体" w:cs="宋体"/>
                <w:color w:val="auto"/>
                <w:szCs w:val="21"/>
                <w:highlight w:val="none"/>
              </w:rPr>
              <w:t>合作期满后所有设备由</w:t>
            </w:r>
            <w:r>
              <w:rPr>
                <w:rFonts w:hint="eastAsia" w:ascii="宋体" w:hAnsi="宋体" w:eastAsia="宋体" w:cs="宋体"/>
                <w:color w:val="auto"/>
                <w:szCs w:val="21"/>
                <w:highlight w:val="none"/>
                <w:lang w:val="en-US" w:eastAsia="zh-CN"/>
              </w:rPr>
              <w:t>比选人</w:t>
            </w:r>
            <w:r>
              <w:rPr>
                <w:rFonts w:hint="eastAsia" w:ascii="宋体" w:hAnsi="宋体" w:eastAsia="宋体" w:cs="宋体"/>
                <w:color w:val="auto"/>
                <w:szCs w:val="21"/>
                <w:highlight w:val="none"/>
              </w:rPr>
              <w:t>所有。月</w:t>
            </w:r>
            <w:r>
              <w:rPr>
                <w:rFonts w:hint="eastAsia" w:ascii="宋体" w:hAnsi="宋体" w:eastAsia="宋体" w:cs="宋体"/>
                <w:color w:val="auto"/>
                <w:szCs w:val="21"/>
                <w:highlight w:val="none"/>
                <w:lang w:val="en-US" w:eastAsia="zh-CN"/>
              </w:rPr>
              <w:t>度</w:t>
            </w:r>
            <w:r>
              <w:rPr>
                <w:rFonts w:hint="eastAsia" w:ascii="宋体" w:hAnsi="宋体" w:eastAsia="宋体" w:cs="宋体"/>
                <w:color w:val="auto"/>
                <w:szCs w:val="21"/>
                <w:highlight w:val="none"/>
              </w:rPr>
              <w:t>服务费</w:t>
            </w:r>
            <w:r>
              <w:rPr>
                <w:rFonts w:hint="eastAsia" w:ascii="宋体" w:hAnsi="宋体" w:eastAsia="宋体" w:cs="宋体"/>
                <w:color w:val="auto"/>
                <w:szCs w:val="21"/>
                <w:highlight w:val="none"/>
                <w:lang w:val="en-US" w:eastAsia="zh-CN"/>
              </w:rPr>
              <w:t>最高限价</w:t>
            </w:r>
            <w:r>
              <w:rPr>
                <w:rFonts w:hint="eastAsia"/>
                <w:highlight w:val="none"/>
              </w:rPr>
              <w:t>¥</w:t>
            </w:r>
            <w:r>
              <w:rPr>
                <w:rFonts w:hint="eastAsia"/>
                <w:highlight w:val="none"/>
                <w:lang w:val="en-US" w:eastAsia="zh-CN"/>
              </w:rPr>
              <w:t>2100</w:t>
            </w:r>
            <w:r>
              <w:rPr>
                <w:rFonts w:hint="eastAsia"/>
                <w:highlight w:val="none"/>
              </w:rPr>
              <w:t>元（大写：贰仟</w:t>
            </w:r>
            <w:r>
              <w:rPr>
                <w:rFonts w:hint="eastAsia"/>
                <w:highlight w:val="none"/>
                <w:lang w:val="en-US" w:eastAsia="zh-CN"/>
              </w:rPr>
              <w:t>壹佰</w:t>
            </w:r>
            <w:r>
              <w:rPr>
                <w:rFonts w:hint="eastAsia"/>
                <w:highlight w:val="none"/>
              </w:rPr>
              <w:t>元整）</w:t>
            </w:r>
            <w:r>
              <w:rPr>
                <w:rFonts w:hint="eastAsia"/>
                <w:highlight w:val="none"/>
                <w:lang w:eastAsia="zh-CN"/>
              </w:rPr>
              <w:t>，</w:t>
            </w:r>
            <w:r>
              <w:rPr>
                <w:rFonts w:hint="eastAsia" w:ascii="宋体" w:hAnsi="宋体" w:eastAsia="宋体" w:cs="宋体"/>
                <w:color w:val="auto"/>
                <w:szCs w:val="21"/>
                <w:highlight w:val="none"/>
              </w:rPr>
              <w:t>投标人所报价格超过</w:t>
            </w:r>
            <w:r>
              <w:rPr>
                <w:rFonts w:hint="eastAsia" w:ascii="宋体" w:hAnsi="宋体" w:eastAsia="宋体" w:cs="宋体"/>
                <w:color w:val="auto"/>
                <w:szCs w:val="21"/>
                <w:highlight w:val="none"/>
                <w:lang w:val="en-US" w:eastAsia="zh-CN"/>
              </w:rPr>
              <w:t>2100</w:t>
            </w:r>
            <w:r>
              <w:rPr>
                <w:rFonts w:hint="eastAsia" w:ascii="宋体" w:hAnsi="宋体" w:eastAsia="宋体" w:cs="宋体"/>
                <w:color w:val="auto"/>
                <w:szCs w:val="21"/>
                <w:highlight w:val="none"/>
              </w:rPr>
              <w:t>元视为无效投标</w:t>
            </w:r>
            <w:r>
              <w:rPr>
                <w:rFonts w:hint="eastAsia" w:ascii="宋体" w:hAnsi="宋体" w:eastAsia="宋体" w:cs="宋体"/>
                <w:color w:val="auto"/>
                <w:szCs w:val="21"/>
                <w:highlight w:val="none"/>
                <w:lang w:eastAsia="zh-CN"/>
              </w:rPr>
              <w:t>。</w:t>
            </w:r>
          </w:p>
          <w:p w14:paraId="6DE22712">
            <w:pPr>
              <w:autoSpaceDE w:val="0"/>
              <w:autoSpaceDN w:val="0"/>
              <w:adjustRightInd w:val="0"/>
              <w:snapToGrid w:val="0"/>
              <w:spacing w:line="300" w:lineRule="exact"/>
              <w:ind w:firstLine="420" w:firstLineChars="200"/>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w:t>
            </w:r>
            <w:r>
              <w:rPr>
                <w:rFonts w:ascii="宋体" w:hAnsi="宋体" w:cs="宋体"/>
                <w:color w:val="auto"/>
                <w:kern w:val="0"/>
                <w:szCs w:val="21"/>
                <w:highlight w:val="none"/>
              </w:rPr>
              <w:t>.报价为</w:t>
            </w:r>
            <w:r>
              <w:rPr>
                <w:rFonts w:hint="eastAsia" w:ascii="宋体" w:hAnsi="宋体" w:cs="宋体"/>
                <w:color w:val="auto"/>
                <w:kern w:val="0"/>
                <w:szCs w:val="21"/>
                <w:highlight w:val="none"/>
              </w:rPr>
              <w:t>含税固定总报价包干</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投标人</w:t>
            </w:r>
            <w:r>
              <w:rPr>
                <w:rFonts w:hint="eastAsia" w:ascii="宋体" w:hAnsi="宋体" w:cs="宋体"/>
                <w:color w:val="auto"/>
                <w:kern w:val="0"/>
                <w:szCs w:val="21"/>
                <w:highlight w:val="none"/>
              </w:rPr>
              <w:t>应自行踏勘现场，报价应包含设备、运输、安装、调试、人员</w:t>
            </w:r>
            <w:r>
              <w:rPr>
                <w:rFonts w:hint="eastAsia" w:ascii="宋体" w:hAnsi="宋体" w:cs="宋体"/>
                <w:color w:val="auto"/>
                <w:kern w:val="0"/>
                <w:szCs w:val="21"/>
                <w:highlight w:val="none"/>
                <w:lang w:val="en-US" w:eastAsia="zh-CN"/>
              </w:rPr>
              <w:t>等</w:t>
            </w:r>
            <w:r>
              <w:rPr>
                <w:rFonts w:hint="eastAsia" w:ascii="宋体" w:hAnsi="宋体" w:cs="宋体"/>
                <w:color w:val="auto"/>
                <w:kern w:val="0"/>
                <w:szCs w:val="21"/>
                <w:highlight w:val="none"/>
              </w:rPr>
              <w:t>所有项目的全部费用与应急管理部门协调产生的所有费用</w:t>
            </w:r>
            <w:r>
              <w:rPr>
                <w:rFonts w:hint="eastAsia" w:ascii="宋体" w:hAnsi="宋体" w:cs="宋体"/>
                <w:color w:val="auto"/>
                <w:kern w:val="0"/>
                <w:szCs w:val="21"/>
                <w:highlight w:val="none"/>
                <w:lang w:eastAsia="zh-CN"/>
              </w:rPr>
              <w:t>。</w:t>
            </w:r>
          </w:p>
          <w:p w14:paraId="120FD20F">
            <w:pPr>
              <w:autoSpaceDE w:val="0"/>
              <w:autoSpaceDN w:val="0"/>
              <w:adjustRightInd w:val="0"/>
              <w:snapToGrid w:val="0"/>
              <w:spacing w:line="300" w:lineRule="exact"/>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3</w:t>
            </w:r>
            <w:r>
              <w:rPr>
                <w:rFonts w:ascii="宋体" w:hAnsi="宋体" w:cs="宋体"/>
                <w:color w:val="auto"/>
                <w:kern w:val="0"/>
                <w:szCs w:val="21"/>
                <w:highlight w:val="none"/>
              </w:rPr>
              <w:t>.投标人根据服务内容、自身能力、市场状况等，自主报价。</w:t>
            </w:r>
          </w:p>
        </w:tc>
      </w:tr>
      <w:tr w14:paraId="54AE8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14:paraId="60C17F5C">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9</w:t>
            </w:r>
          </w:p>
        </w:tc>
        <w:tc>
          <w:tcPr>
            <w:tcW w:w="1942" w:type="dxa"/>
            <w:vAlign w:val="center"/>
          </w:tcPr>
          <w:p w14:paraId="51857E32">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088" w:type="dxa"/>
            <w:vAlign w:val="center"/>
          </w:tcPr>
          <w:p w14:paraId="1C2E56DD">
            <w:pPr>
              <w:adjustRightInd w:val="0"/>
              <w:snapToGrid w:val="0"/>
              <w:spacing w:line="300" w:lineRule="exact"/>
              <w:ind w:firstLine="420" w:firstLineChars="200"/>
              <w:rPr>
                <w:rFonts w:hint="eastAsia" w:ascii="宋体" w:hAnsi="宋体" w:cs="宋体"/>
                <w:color w:val="auto"/>
                <w:szCs w:val="21"/>
                <w:highlight w:val="none"/>
                <w:lang w:val="en-US" w:eastAsia="zh-CN"/>
              </w:rPr>
            </w:pPr>
            <w:r>
              <w:rPr>
                <w:rFonts w:ascii="宋体" w:hAnsi="宋体" w:cs="宋体"/>
                <w:color w:val="auto"/>
                <w:szCs w:val="21"/>
                <w:highlight w:val="none"/>
              </w:rPr>
              <w:t>1.</w:t>
            </w:r>
            <w:r>
              <w:rPr>
                <w:rFonts w:hint="eastAsia" w:ascii="宋体" w:hAnsi="宋体" w:cs="宋体"/>
                <w:color w:val="auto"/>
                <w:szCs w:val="21"/>
                <w:highlight w:val="none"/>
                <w:lang w:val="en-US" w:eastAsia="zh-CN"/>
              </w:rPr>
              <w:t>本项目无预付款，</w:t>
            </w:r>
            <w:r>
              <w:rPr>
                <w:rFonts w:hint="eastAsia" w:ascii="宋体" w:hAnsi="宋体" w:cs="宋体"/>
                <w:szCs w:val="21"/>
                <w:highlight w:val="none"/>
              </w:rPr>
              <w:t>中选</w:t>
            </w:r>
            <w:r>
              <w:rPr>
                <w:rFonts w:ascii="宋体" w:hAnsi="宋体" w:cs="宋体"/>
                <w:szCs w:val="21"/>
                <w:highlight w:val="none"/>
              </w:rPr>
              <w:t>人</w:t>
            </w:r>
            <w:r>
              <w:rPr>
                <w:rFonts w:hint="eastAsia" w:ascii="宋体" w:hAnsi="宋体" w:cs="宋体"/>
                <w:color w:val="auto"/>
                <w:szCs w:val="21"/>
                <w:highlight w:val="none"/>
              </w:rPr>
              <w:t>经自检认为整个项目符合验收条件，向比选人提出验收申请，经</w:t>
            </w:r>
            <w:r>
              <w:rPr>
                <w:rFonts w:hint="eastAsia" w:ascii="宋体" w:hAnsi="宋体" w:cs="宋体"/>
                <w:color w:val="auto"/>
                <w:szCs w:val="21"/>
                <w:highlight w:val="none"/>
                <w:lang w:eastAsia="zh-CN"/>
              </w:rPr>
              <w:t>四联集团重分公司</w:t>
            </w:r>
            <w:r>
              <w:rPr>
                <w:rFonts w:hint="eastAsia" w:ascii="宋体" w:hAnsi="宋体" w:cs="宋体"/>
                <w:color w:val="auto"/>
                <w:szCs w:val="21"/>
                <w:highlight w:val="none"/>
                <w:lang w:val="en-US" w:eastAsia="zh-CN"/>
              </w:rPr>
              <w:t>采购比选小组</w:t>
            </w:r>
            <w:r>
              <w:rPr>
                <w:rFonts w:hint="eastAsia" w:ascii="宋体" w:hAnsi="宋体" w:cs="宋体"/>
                <w:color w:val="auto"/>
                <w:szCs w:val="21"/>
                <w:highlight w:val="none"/>
              </w:rPr>
              <w:t>验收通过后</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由比选人向中选人按季度支付服务费（先付后用），共按20期完成支付。</w:t>
            </w:r>
          </w:p>
          <w:p w14:paraId="6B6366D9">
            <w:pPr>
              <w:pStyle w:val="6"/>
              <w:spacing w:line="300" w:lineRule="exact"/>
              <w:ind w:firstLine="420" w:firstLineChars="200"/>
              <w:jc w:val="left"/>
              <w:rPr>
                <w:rFonts w:ascii="宋体" w:hAnsi="宋体" w:eastAsia="宋体" w:cs="宋体"/>
                <w:snapToGrid/>
                <w:color w:val="auto"/>
                <w:sz w:val="21"/>
                <w:szCs w:val="21"/>
                <w:highlight w:val="none"/>
              </w:rPr>
            </w:pPr>
            <w:r>
              <w:rPr>
                <w:rFonts w:hint="eastAsia" w:ascii="宋体" w:hAnsi="宋体" w:eastAsia="宋体" w:cs="宋体"/>
                <w:snapToGrid/>
                <w:color w:val="auto"/>
                <w:sz w:val="21"/>
                <w:szCs w:val="21"/>
                <w:highlight w:val="none"/>
                <w:lang w:val="en-US" w:eastAsia="zh-CN"/>
              </w:rPr>
              <w:t>2</w:t>
            </w:r>
            <w:r>
              <w:rPr>
                <w:rFonts w:ascii="宋体" w:hAnsi="宋体" w:eastAsia="宋体" w:cs="宋体"/>
                <w:snapToGrid/>
                <w:color w:val="auto"/>
                <w:sz w:val="21"/>
                <w:szCs w:val="21"/>
                <w:highlight w:val="none"/>
              </w:rPr>
              <w:t>.</w:t>
            </w:r>
            <w:r>
              <w:rPr>
                <w:rFonts w:hint="eastAsia" w:ascii="宋体" w:hAnsi="宋体" w:eastAsia="宋体" w:cs="宋体"/>
                <w:snapToGrid/>
                <w:sz w:val="21"/>
                <w:szCs w:val="21"/>
                <w:highlight w:val="none"/>
              </w:rPr>
              <w:t>比选人</w:t>
            </w:r>
            <w:r>
              <w:rPr>
                <w:rFonts w:hint="eastAsia" w:ascii="宋体" w:hAnsi="宋体" w:eastAsia="宋体" w:cs="宋体"/>
                <w:snapToGrid/>
                <w:color w:val="auto"/>
                <w:sz w:val="21"/>
                <w:szCs w:val="21"/>
                <w:highlight w:val="none"/>
              </w:rPr>
              <w:t>每次付款前，</w:t>
            </w:r>
            <w:r>
              <w:rPr>
                <w:rFonts w:hint="eastAsia" w:ascii="宋体" w:hAnsi="宋体" w:eastAsia="宋体" w:cs="宋体"/>
                <w:snapToGrid/>
                <w:sz w:val="21"/>
                <w:szCs w:val="21"/>
                <w:highlight w:val="none"/>
              </w:rPr>
              <w:t>中选人</w:t>
            </w:r>
            <w:r>
              <w:rPr>
                <w:rFonts w:hint="eastAsia" w:ascii="宋体" w:hAnsi="宋体" w:eastAsia="宋体" w:cs="宋体"/>
                <w:snapToGrid/>
                <w:color w:val="auto"/>
                <w:sz w:val="21"/>
                <w:szCs w:val="21"/>
                <w:highlight w:val="none"/>
              </w:rPr>
              <w:t>应向甲方开具相应金额的【</w:t>
            </w:r>
            <w:r>
              <w:rPr>
                <w:rFonts w:ascii="宋体" w:hAnsi="宋体" w:eastAsia="宋体" w:cs="宋体"/>
                <w:snapToGrid/>
                <w:color w:val="auto"/>
                <w:sz w:val="21"/>
                <w:szCs w:val="21"/>
                <w:highlight w:val="none"/>
              </w:rPr>
              <w:t>6%】的合法增值税专用发票，否则</w:t>
            </w:r>
            <w:r>
              <w:rPr>
                <w:rFonts w:hint="eastAsia" w:ascii="宋体" w:hAnsi="宋体" w:eastAsia="宋体" w:cs="宋体"/>
                <w:snapToGrid/>
                <w:sz w:val="21"/>
                <w:szCs w:val="21"/>
                <w:highlight w:val="none"/>
              </w:rPr>
              <w:t>比选</w:t>
            </w:r>
            <w:r>
              <w:rPr>
                <w:rFonts w:ascii="宋体" w:hAnsi="宋体" w:eastAsia="宋体" w:cs="宋体"/>
                <w:snapToGrid/>
                <w:sz w:val="21"/>
                <w:szCs w:val="21"/>
                <w:highlight w:val="none"/>
              </w:rPr>
              <w:t>人</w:t>
            </w:r>
            <w:r>
              <w:rPr>
                <w:rFonts w:ascii="宋体" w:hAnsi="宋体" w:eastAsia="宋体" w:cs="宋体"/>
                <w:snapToGrid/>
                <w:color w:val="auto"/>
                <w:sz w:val="21"/>
                <w:szCs w:val="21"/>
                <w:highlight w:val="none"/>
              </w:rPr>
              <w:t>有权暂停付款，直至取得符合约定的发票为止，且不构成违约，</w:t>
            </w:r>
            <w:r>
              <w:rPr>
                <w:rFonts w:hint="eastAsia" w:ascii="宋体" w:hAnsi="宋体" w:eastAsia="宋体" w:cs="宋体"/>
                <w:snapToGrid/>
                <w:sz w:val="21"/>
                <w:szCs w:val="21"/>
                <w:highlight w:val="none"/>
              </w:rPr>
              <w:t>中选</w:t>
            </w:r>
            <w:r>
              <w:rPr>
                <w:rFonts w:ascii="宋体" w:hAnsi="宋体" w:eastAsia="宋体" w:cs="宋体"/>
                <w:snapToGrid/>
                <w:sz w:val="21"/>
                <w:szCs w:val="21"/>
                <w:highlight w:val="none"/>
              </w:rPr>
              <w:t>人</w:t>
            </w:r>
            <w:r>
              <w:rPr>
                <w:rFonts w:ascii="宋体" w:hAnsi="宋体" w:eastAsia="宋体" w:cs="宋体"/>
                <w:snapToGrid/>
                <w:color w:val="auto"/>
                <w:sz w:val="21"/>
                <w:szCs w:val="21"/>
                <w:highlight w:val="none"/>
              </w:rPr>
              <w:t>承诺不因此向</w:t>
            </w:r>
            <w:r>
              <w:rPr>
                <w:rFonts w:hint="eastAsia" w:ascii="宋体" w:hAnsi="宋体" w:eastAsia="宋体" w:cs="宋体"/>
                <w:snapToGrid/>
                <w:sz w:val="21"/>
                <w:szCs w:val="21"/>
                <w:highlight w:val="none"/>
              </w:rPr>
              <w:t>比选</w:t>
            </w:r>
            <w:r>
              <w:rPr>
                <w:rFonts w:ascii="宋体" w:hAnsi="宋体" w:eastAsia="宋体" w:cs="宋体"/>
                <w:snapToGrid/>
                <w:sz w:val="21"/>
                <w:szCs w:val="21"/>
                <w:highlight w:val="none"/>
              </w:rPr>
              <w:t>人</w:t>
            </w:r>
            <w:r>
              <w:rPr>
                <w:rFonts w:ascii="宋体" w:hAnsi="宋体" w:eastAsia="宋体" w:cs="宋体"/>
                <w:snapToGrid/>
                <w:color w:val="auto"/>
                <w:sz w:val="21"/>
                <w:szCs w:val="21"/>
                <w:highlight w:val="none"/>
              </w:rPr>
              <w:t>主张任何责任。</w:t>
            </w:r>
          </w:p>
          <w:p w14:paraId="2A2B0E60">
            <w:pPr>
              <w:adjustRightInd w:val="0"/>
              <w:snapToGrid w:val="0"/>
              <w:spacing w:line="300" w:lineRule="exact"/>
              <w:rPr>
                <w:rFonts w:ascii="宋体" w:hAnsi="宋体" w:cs="宋体"/>
                <w:color w:val="auto"/>
                <w:szCs w:val="21"/>
                <w:highlight w:val="none"/>
              </w:rPr>
            </w:pPr>
          </w:p>
        </w:tc>
      </w:tr>
      <w:tr w14:paraId="1C36D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14:paraId="550674CB">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10</w:t>
            </w:r>
          </w:p>
        </w:tc>
        <w:tc>
          <w:tcPr>
            <w:tcW w:w="1942" w:type="dxa"/>
            <w:vAlign w:val="center"/>
          </w:tcPr>
          <w:p w14:paraId="35FC2C76">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比选申请有效期</w:t>
            </w:r>
          </w:p>
        </w:tc>
        <w:tc>
          <w:tcPr>
            <w:tcW w:w="7088" w:type="dxa"/>
            <w:vAlign w:val="center"/>
          </w:tcPr>
          <w:p w14:paraId="371FB8A5">
            <w:pPr>
              <w:adjustRightInd w:val="0"/>
              <w:snapToGrid w:val="0"/>
              <w:spacing w:line="300" w:lineRule="exact"/>
              <w:rPr>
                <w:rFonts w:ascii="宋体" w:hAnsi="宋体" w:cs="宋体"/>
                <w:color w:val="auto"/>
                <w:szCs w:val="21"/>
                <w:highlight w:val="none"/>
              </w:rPr>
            </w:pPr>
            <w:r>
              <w:rPr>
                <w:rFonts w:ascii="宋体" w:hAnsi="宋体" w:cs="宋体"/>
                <w:color w:val="auto"/>
                <w:szCs w:val="21"/>
                <w:highlight w:val="none"/>
                <w:u w:val="single"/>
              </w:rPr>
              <w:t>90</w:t>
            </w:r>
            <w:r>
              <w:rPr>
                <w:rFonts w:hint="eastAsia" w:ascii="宋体" w:hAnsi="宋体" w:cs="宋体"/>
                <w:color w:val="auto"/>
                <w:szCs w:val="21"/>
                <w:highlight w:val="none"/>
              </w:rPr>
              <w:t>日历天（从提交比选申请文件截止日起计算）</w:t>
            </w:r>
          </w:p>
        </w:tc>
      </w:tr>
      <w:tr w14:paraId="3A6AD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77" w:type="dxa"/>
            <w:vAlign w:val="center"/>
          </w:tcPr>
          <w:p w14:paraId="28833E8F">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11</w:t>
            </w:r>
          </w:p>
        </w:tc>
        <w:tc>
          <w:tcPr>
            <w:tcW w:w="1942" w:type="dxa"/>
            <w:vAlign w:val="center"/>
          </w:tcPr>
          <w:p w14:paraId="65528F90">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比选申请文件内容及份数</w:t>
            </w:r>
          </w:p>
        </w:tc>
        <w:tc>
          <w:tcPr>
            <w:tcW w:w="7088" w:type="dxa"/>
            <w:vAlign w:val="center"/>
          </w:tcPr>
          <w:p w14:paraId="2F50EF89">
            <w:pPr>
              <w:autoSpaceDE w:val="0"/>
              <w:autoSpaceDN w:val="0"/>
              <w:adjustRightInd w:val="0"/>
              <w:snapToGrid w:val="0"/>
              <w:spacing w:line="300" w:lineRule="exact"/>
              <w:ind w:firstLine="420" w:firstLineChars="200"/>
              <w:rPr>
                <w:rFonts w:ascii="宋体" w:hAnsi="宋体" w:cs="宋体"/>
                <w:color w:val="auto"/>
                <w:kern w:val="0"/>
                <w:szCs w:val="21"/>
                <w:highlight w:val="none"/>
              </w:rPr>
            </w:pPr>
            <w:r>
              <w:rPr>
                <w:rFonts w:ascii="宋体" w:hAnsi="宋体" w:cs="宋体"/>
                <w:color w:val="auto"/>
                <w:kern w:val="0"/>
                <w:szCs w:val="21"/>
                <w:highlight w:val="none"/>
              </w:rPr>
              <w:t>1.比选申请文件包括：比选申请函、营业执照、资质文件、业绩证明材料、承诺书</w:t>
            </w:r>
            <w:r>
              <w:rPr>
                <w:rFonts w:hint="eastAsia" w:ascii="宋体" w:hAnsi="宋体" w:cs="宋体"/>
                <w:color w:val="auto"/>
                <w:kern w:val="0"/>
                <w:szCs w:val="21"/>
                <w:highlight w:val="none"/>
                <w:lang w:eastAsia="zh-CN"/>
              </w:rPr>
              <w:t>、</w:t>
            </w:r>
            <w:r>
              <w:rPr>
                <w:rFonts w:ascii="宋体" w:hAnsi="宋体" w:cs="宋体"/>
                <w:color w:val="auto"/>
                <w:kern w:val="0"/>
                <w:szCs w:val="21"/>
                <w:highlight w:val="none"/>
              </w:rPr>
              <w:t>服务方案，见第四章内容，缺一不可。</w:t>
            </w:r>
          </w:p>
          <w:p w14:paraId="3C37EEFB">
            <w:pPr>
              <w:autoSpaceDE w:val="0"/>
              <w:autoSpaceDN w:val="0"/>
              <w:adjustRightInd w:val="0"/>
              <w:snapToGrid w:val="0"/>
              <w:spacing w:line="300" w:lineRule="exact"/>
              <w:ind w:firstLine="420" w:firstLineChars="200"/>
              <w:rPr>
                <w:rFonts w:ascii="宋体" w:hAnsi="宋体" w:cs="宋体"/>
                <w:b/>
                <w:color w:val="auto"/>
                <w:kern w:val="0"/>
                <w:szCs w:val="21"/>
                <w:highlight w:val="none"/>
              </w:rPr>
            </w:pPr>
            <w:r>
              <w:rPr>
                <w:rFonts w:ascii="宋体" w:hAnsi="宋体" w:cs="宋体"/>
                <w:color w:val="auto"/>
                <w:kern w:val="0"/>
                <w:szCs w:val="21"/>
                <w:highlight w:val="none"/>
              </w:rPr>
              <w:t>2.比选申请文件需正本</w:t>
            </w:r>
            <w:r>
              <w:rPr>
                <w:rFonts w:hint="eastAsia" w:ascii="宋体" w:hAnsi="宋体" w:cs="宋体"/>
                <w:color w:val="auto"/>
                <w:kern w:val="0"/>
                <w:szCs w:val="21"/>
                <w:highlight w:val="none"/>
                <w:lang w:val="en-US" w:eastAsia="zh-CN"/>
              </w:rPr>
              <w:t>至少</w:t>
            </w:r>
            <w:r>
              <w:rPr>
                <w:rFonts w:ascii="宋体" w:hAnsi="宋体" w:cs="宋体"/>
                <w:color w:val="auto"/>
                <w:kern w:val="0"/>
                <w:szCs w:val="21"/>
                <w:highlight w:val="none"/>
              </w:rPr>
              <w:t xml:space="preserve"> 1 份，须加盖鲜章，否则视为否决投标。 </w:t>
            </w:r>
          </w:p>
        </w:tc>
      </w:tr>
      <w:tr w14:paraId="45D6D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14:paraId="013630E6">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12</w:t>
            </w:r>
          </w:p>
        </w:tc>
        <w:tc>
          <w:tcPr>
            <w:tcW w:w="1942" w:type="dxa"/>
            <w:vAlign w:val="center"/>
          </w:tcPr>
          <w:p w14:paraId="3FE8D041">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装订及密封要求</w:t>
            </w:r>
          </w:p>
        </w:tc>
        <w:tc>
          <w:tcPr>
            <w:tcW w:w="7088" w:type="dxa"/>
            <w:vAlign w:val="center"/>
          </w:tcPr>
          <w:p w14:paraId="656B322B">
            <w:pPr>
              <w:autoSpaceDE w:val="0"/>
              <w:autoSpaceDN w:val="0"/>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将比选申请文件装入纸质文件袋，密封</w:t>
            </w:r>
            <w:r>
              <w:rPr>
                <w:rFonts w:hint="eastAsia" w:ascii="宋体" w:hAnsi="宋体" w:cs="宋体"/>
                <w:color w:val="auto"/>
                <w:szCs w:val="21"/>
                <w:highlight w:val="none"/>
              </w:rPr>
              <w:t>并在袋上封口处加盖比选申请方公章。</w:t>
            </w:r>
          </w:p>
        </w:tc>
      </w:tr>
      <w:tr w14:paraId="22436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14:paraId="4DAA731B">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13</w:t>
            </w:r>
          </w:p>
        </w:tc>
        <w:tc>
          <w:tcPr>
            <w:tcW w:w="1942" w:type="dxa"/>
            <w:vAlign w:val="center"/>
          </w:tcPr>
          <w:p w14:paraId="135646A3">
            <w:pPr>
              <w:adjustRightInd w:val="0"/>
              <w:snapToGrid w:val="0"/>
              <w:spacing w:line="300" w:lineRule="exact"/>
              <w:jc w:val="center"/>
              <w:rPr>
                <w:rFonts w:ascii="宋体" w:hAnsi="宋体" w:cs="宋体"/>
                <w:color w:val="auto"/>
                <w:kern w:val="0"/>
                <w:szCs w:val="21"/>
                <w:highlight w:val="none"/>
              </w:rPr>
            </w:pPr>
            <w:r>
              <w:rPr>
                <w:rFonts w:hint="eastAsia" w:ascii="宋体" w:hAnsi="宋体"/>
                <w:szCs w:val="21"/>
                <w:highlight w:val="none"/>
              </w:rPr>
              <w:t>比选申请文件发出方式</w:t>
            </w:r>
          </w:p>
        </w:tc>
        <w:tc>
          <w:tcPr>
            <w:tcW w:w="7088" w:type="dxa"/>
            <w:vAlign w:val="center"/>
          </w:tcPr>
          <w:p w14:paraId="36F0641B">
            <w:pPr>
              <w:autoSpaceDE w:val="0"/>
              <w:autoSpaceDN w:val="0"/>
              <w:adjustRightInd w:val="0"/>
              <w:snapToGrid w:val="0"/>
              <w:spacing w:line="300" w:lineRule="exact"/>
              <w:rPr>
                <w:rFonts w:ascii="宋体" w:hAnsi="宋体" w:cs="宋体"/>
                <w:color w:val="auto"/>
                <w:kern w:val="0"/>
                <w:szCs w:val="21"/>
                <w:highlight w:val="none"/>
              </w:rPr>
            </w:pPr>
            <w:r>
              <w:rPr>
                <w:rFonts w:hint="eastAsia" w:ascii="宋体" w:hAnsi="宋体"/>
                <w:szCs w:val="21"/>
                <w:highlight w:val="none"/>
              </w:rPr>
              <w:t>邮箱发送及盖章纸质版送达</w:t>
            </w:r>
          </w:p>
        </w:tc>
      </w:tr>
      <w:tr w14:paraId="4FEC4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77" w:type="dxa"/>
            <w:vAlign w:val="center"/>
          </w:tcPr>
          <w:p w14:paraId="6B64E2A1">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14</w:t>
            </w:r>
          </w:p>
        </w:tc>
        <w:tc>
          <w:tcPr>
            <w:tcW w:w="1942" w:type="dxa"/>
            <w:vAlign w:val="center"/>
          </w:tcPr>
          <w:p w14:paraId="2B9CF953">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递交比选申请文件</w:t>
            </w:r>
          </w:p>
          <w:p w14:paraId="7D235803">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地点</w:t>
            </w:r>
          </w:p>
        </w:tc>
        <w:tc>
          <w:tcPr>
            <w:tcW w:w="7088" w:type="dxa"/>
            <w:vAlign w:val="center"/>
          </w:tcPr>
          <w:p w14:paraId="69CA2018">
            <w:pPr>
              <w:spacing w:line="300" w:lineRule="exact"/>
              <w:rPr>
                <w:rFonts w:ascii="宋体" w:hAnsi="宋体" w:cs="宋体"/>
                <w:b/>
                <w:color w:val="auto"/>
                <w:szCs w:val="21"/>
                <w:highlight w:val="none"/>
              </w:rPr>
            </w:pPr>
            <w:r>
              <w:rPr>
                <w:rFonts w:hint="eastAsia" w:ascii="宋体" w:hAnsi="宋体" w:cs="宋体"/>
                <w:b/>
                <w:color w:val="auto"/>
                <w:szCs w:val="21"/>
                <w:highlight w:val="none"/>
              </w:rPr>
              <w:t>比选申请文件递交截止时间</w:t>
            </w:r>
            <w:r>
              <w:rPr>
                <w:rFonts w:hint="eastAsia" w:ascii="宋体" w:hAnsi="宋体" w:cs="宋体"/>
                <w:b/>
                <w:color w:val="auto"/>
                <w:szCs w:val="21"/>
                <w:highlight w:val="none"/>
                <w:lang w:val="en-US" w:eastAsia="zh-CN"/>
              </w:rPr>
              <w:t>2025</w:t>
            </w:r>
            <w:r>
              <w:rPr>
                <w:rFonts w:hint="eastAsia" w:ascii="宋体" w:hAnsi="宋体" w:cs="宋体"/>
                <w:b/>
                <w:color w:val="auto"/>
                <w:szCs w:val="21"/>
                <w:highlight w:val="none"/>
              </w:rPr>
              <w:t>年</w:t>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月</w:t>
            </w:r>
            <w:r>
              <w:rPr>
                <w:rFonts w:hint="eastAsia" w:ascii="宋体" w:hAnsi="宋体" w:cs="宋体"/>
                <w:b/>
                <w:color w:val="auto"/>
                <w:szCs w:val="21"/>
                <w:highlight w:val="none"/>
                <w:lang w:val="en-US" w:eastAsia="zh-CN"/>
              </w:rPr>
              <w:t>2</w:t>
            </w:r>
            <w:r>
              <w:rPr>
                <w:rFonts w:hint="eastAsia" w:ascii="宋体" w:hAnsi="宋体" w:cs="宋体"/>
                <w:b/>
                <w:szCs w:val="21"/>
                <w:highlight w:val="none"/>
                <w:lang w:val="en-US" w:eastAsia="zh-CN"/>
              </w:rPr>
              <w:t>6</w:t>
            </w:r>
            <w:r>
              <w:rPr>
                <w:rFonts w:ascii="宋体" w:hAnsi="宋体" w:cs="宋体"/>
                <w:b/>
                <w:color w:val="auto"/>
                <w:szCs w:val="21"/>
                <w:highlight w:val="none"/>
              </w:rPr>
              <w:t>日 16</w:t>
            </w:r>
            <w:r>
              <w:rPr>
                <w:rFonts w:hint="eastAsia" w:ascii="宋体" w:hAnsi="宋体" w:cs="宋体"/>
                <w:b/>
                <w:color w:val="auto"/>
                <w:szCs w:val="21"/>
                <w:highlight w:val="none"/>
              </w:rPr>
              <w:t>时止。</w:t>
            </w:r>
          </w:p>
          <w:p w14:paraId="70125A0B">
            <w:pPr>
              <w:adjustRightInd w:val="0"/>
              <w:snapToGrid w:val="0"/>
              <w:spacing w:line="300" w:lineRule="exact"/>
              <w:rPr>
                <w:rFonts w:ascii="宋体" w:hAnsi="宋体" w:cs="宋体"/>
                <w:b/>
                <w:color w:val="auto"/>
                <w:szCs w:val="21"/>
                <w:highlight w:val="none"/>
              </w:rPr>
            </w:pPr>
            <w:r>
              <w:rPr>
                <w:rFonts w:hint="eastAsia"/>
                <w:highlight w:val="none"/>
              </w:rPr>
              <w:fldChar w:fldCharType="begin"/>
            </w:r>
            <w:r>
              <w:rPr>
                <w:highlight w:val="none"/>
              </w:rPr>
              <w:instrText xml:space="preserve"> HYPERLINK "</w:instrText>
            </w:r>
            <w:r>
              <w:rPr>
                <w:rFonts w:hint="eastAsia"/>
                <w:highlight w:val="none"/>
              </w:rPr>
              <w:instrText xml:space="preserve">mailto:在截止时间前，将全部报价文件电子版压缩打包后传至邮箱254072703@qq.com，电子版文件应为2套，1套为word或excel可编辑的文件，1套为盖单位公章的pdf文件，2套文件内容须完全一致。当两套文件不一致时，以PDF文件为准。</w:instrText>
            </w:r>
            <w:r>
              <w:rPr>
                <w:highlight w:val="none"/>
              </w:rPr>
              <w:instrText xml:space="preserve">" </w:instrText>
            </w:r>
            <w:r>
              <w:rPr>
                <w:rFonts w:hint="eastAsia"/>
                <w:highlight w:val="none"/>
              </w:rPr>
              <w:fldChar w:fldCharType="separate"/>
            </w:r>
            <w:r>
              <w:rPr>
                <w:rStyle w:val="20"/>
                <w:rFonts w:hint="eastAsia"/>
                <w:color w:val="auto"/>
                <w:highlight w:val="none"/>
              </w:rPr>
              <w:t>在截止时间前，</w:t>
            </w:r>
            <w:r>
              <w:rPr>
                <w:rFonts w:hint="eastAsia"/>
                <w:highlight w:val="none"/>
              </w:rPr>
              <w:fldChar w:fldCharType="end"/>
            </w:r>
            <w:r>
              <w:rPr>
                <w:rFonts w:hint="eastAsia"/>
                <w:highlight w:val="none"/>
              </w:rPr>
              <w:t>由比选申请人指定人员将比选申请文件电子版发送到</w:t>
            </w:r>
            <w:r>
              <w:rPr>
                <w:rFonts w:hint="eastAsia" w:ascii="宋体" w:hAnsi="宋体" w:cs="宋体"/>
                <w:highlight w:val="none"/>
                <w:lang w:val="en-US" w:eastAsia="zh-CN"/>
              </w:rPr>
              <w:t>604852503@qq.com</w:t>
            </w:r>
            <w:r>
              <w:rPr>
                <w:rFonts w:hint="eastAsia"/>
                <w:highlight w:val="none"/>
              </w:rPr>
              <w:t>，将比选申请文件纸质版</w:t>
            </w:r>
            <w:r>
              <w:rPr>
                <w:rFonts w:hint="eastAsia" w:hAnsi="宋体"/>
                <w:szCs w:val="21"/>
                <w:highlight w:val="none"/>
              </w:rPr>
              <w:t>邮寄或送达至以下地址：重庆市北碚区蔡家岗镇同熙路</w:t>
            </w:r>
            <w:r>
              <w:rPr>
                <w:rFonts w:hAnsi="宋体"/>
                <w:szCs w:val="21"/>
                <w:highlight w:val="none"/>
              </w:rPr>
              <w:t xml:space="preserve">99号  </w:t>
            </w:r>
            <w:r>
              <w:rPr>
                <w:rFonts w:hint="eastAsia" w:ascii="宋体" w:hAnsi="宋体" w:cs="MingLiU"/>
                <w:snapToGrid w:val="0"/>
                <w:color w:val="auto"/>
                <w:kern w:val="0"/>
                <w:szCs w:val="21"/>
                <w:highlight w:val="none"/>
                <w:lang w:eastAsia="zh-CN"/>
              </w:rPr>
              <w:t>中国四联仪器仪表集团有限公司重庆分公司</w:t>
            </w:r>
            <w:r>
              <w:rPr>
                <w:rFonts w:hint="eastAsia" w:ascii="宋体" w:hAnsi="宋体" w:cs="MingLiU"/>
                <w:snapToGrid w:val="0"/>
                <w:color w:val="auto"/>
                <w:kern w:val="0"/>
                <w:szCs w:val="21"/>
                <w:highlight w:val="none"/>
                <w:lang w:val="en-US" w:eastAsia="zh-CN"/>
              </w:rPr>
              <w:t>资产经营</w:t>
            </w:r>
            <w:r>
              <w:rPr>
                <w:rFonts w:hint="eastAsia" w:ascii="宋体" w:hAnsi="宋体" w:cs="MingLiU"/>
                <w:snapToGrid w:val="0"/>
                <w:color w:val="auto"/>
                <w:kern w:val="0"/>
                <w:szCs w:val="21"/>
                <w:highlight w:val="none"/>
              </w:rPr>
              <w:t>部。</w:t>
            </w:r>
          </w:p>
        </w:tc>
      </w:tr>
      <w:tr w14:paraId="4FE7F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177" w:type="dxa"/>
            <w:vAlign w:val="center"/>
          </w:tcPr>
          <w:p w14:paraId="3E348223">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15</w:t>
            </w:r>
          </w:p>
        </w:tc>
        <w:tc>
          <w:tcPr>
            <w:tcW w:w="1942" w:type="dxa"/>
            <w:vAlign w:val="center"/>
          </w:tcPr>
          <w:p w14:paraId="771C4660">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是否退还比选申请文件</w:t>
            </w:r>
          </w:p>
        </w:tc>
        <w:tc>
          <w:tcPr>
            <w:tcW w:w="7088" w:type="dxa"/>
            <w:vAlign w:val="center"/>
          </w:tcPr>
          <w:p w14:paraId="76456E4C">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否</w:t>
            </w:r>
          </w:p>
        </w:tc>
      </w:tr>
      <w:tr w14:paraId="54719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177" w:type="dxa"/>
            <w:vAlign w:val="center"/>
          </w:tcPr>
          <w:p w14:paraId="7717A0E3">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16</w:t>
            </w:r>
          </w:p>
        </w:tc>
        <w:tc>
          <w:tcPr>
            <w:tcW w:w="1942" w:type="dxa"/>
            <w:vAlign w:val="center"/>
          </w:tcPr>
          <w:p w14:paraId="1B15C0C5">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比选小组的组建</w:t>
            </w:r>
          </w:p>
        </w:tc>
        <w:tc>
          <w:tcPr>
            <w:tcW w:w="7088" w:type="dxa"/>
            <w:vAlign w:val="center"/>
          </w:tcPr>
          <w:p w14:paraId="32868BC5">
            <w:pPr>
              <w:autoSpaceDE w:val="0"/>
              <w:autoSpaceDN w:val="0"/>
              <w:adjustRightInd w:val="0"/>
              <w:snapToGrid w:val="0"/>
              <w:spacing w:line="30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评委</w:t>
            </w:r>
            <w:r>
              <w:rPr>
                <w:rFonts w:ascii="宋体" w:hAnsi="宋体" w:cs="宋体"/>
                <w:color w:val="auto"/>
                <w:kern w:val="0"/>
                <w:szCs w:val="21"/>
                <w:highlight w:val="none"/>
              </w:rPr>
              <w:t>5人，由</w:t>
            </w:r>
            <w:r>
              <w:rPr>
                <w:rFonts w:hint="eastAsia" w:ascii="宋体" w:hAnsi="宋体" w:cs="宋体"/>
                <w:color w:val="auto"/>
                <w:kern w:val="0"/>
                <w:szCs w:val="21"/>
                <w:highlight w:val="none"/>
                <w:lang w:eastAsia="zh-CN"/>
              </w:rPr>
              <w:t>四联集团重分公司</w:t>
            </w:r>
            <w:r>
              <w:rPr>
                <w:rFonts w:ascii="宋体" w:hAnsi="宋体" w:cs="宋体"/>
                <w:color w:val="auto"/>
                <w:kern w:val="0"/>
                <w:szCs w:val="21"/>
                <w:highlight w:val="none"/>
              </w:rPr>
              <w:t>相关部门</w:t>
            </w:r>
            <w:r>
              <w:rPr>
                <w:rFonts w:hint="eastAsia" w:ascii="宋体" w:hAnsi="宋体" w:cs="宋体"/>
                <w:color w:val="auto"/>
                <w:kern w:val="0"/>
                <w:szCs w:val="21"/>
                <w:highlight w:val="none"/>
              </w:rPr>
              <w:t>人员</w:t>
            </w:r>
            <w:r>
              <w:rPr>
                <w:rFonts w:ascii="宋体" w:hAnsi="宋体" w:cs="宋体"/>
                <w:color w:val="auto"/>
                <w:kern w:val="0"/>
                <w:szCs w:val="21"/>
                <w:highlight w:val="none"/>
              </w:rPr>
              <w:t>组成。</w:t>
            </w:r>
          </w:p>
        </w:tc>
      </w:tr>
      <w:tr w14:paraId="47BE8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14:paraId="0F73924F">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17</w:t>
            </w:r>
          </w:p>
        </w:tc>
        <w:tc>
          <w:tcPr>
            <w:tcW w:w="1942" w:type="dxa"/>
            <w:vAlign w:val="center"/>
          </w:tcPr>
          <w:p w14:paraId="1A2CB769">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rPr>
              <w:t>比选程序</w:t>
            </w:r>
          </w:p>
        </w:tc>
        <w:tc>
          <w:tcPr>
            <w:tcW w:w="7088" w:type="dxa"/>
            <w:vAlign w:val="center"/>
          </w:tcPr>
          <w:p w14:paraId="6ADCFBF9">
            <w:pPr>
              <w:tabs>
                <w:tab w:val="left" w:pos="295"/>
              </w:tabs>
              <w:adjustRightInd w:val="0"/>
              <w:snapToGrid w:val="0"/>
              <w:spacing w:line="300" w:lineRule="exact"/>
              <w:rPr>
                <w:rFonts w:ascii="宋体" w:hAnsi="宋体" w:cs="宋体"/>
                <w:szCs w:val="21"/>
                <w:highlight w:val="none"/>
              </w:rPr>
            </w:pPr>
            <w:r>
              <w:rPr>
                <w:rFonts w:hint="eastAsia" w:ascii="宋体" w:hAnsi="宋体" w:cs="宋体"/>
                <w:szCs w:val="21"/>
                <w:highlight w:val="none"/>
              </w:rPr>
              <w:t>本次比选采用综合评分法，详见第三章。</w:t>
            </w:r>
          </w:p>
        </w:tc>
      </w:tr>
      <w:tr w14:paraId="5FC1E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14:paraId="36F9F0A8">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18</w:t>
            </w:r>
          </w:p>
        </w:tc>
        <w:tc>
          <w:tcPr>
            <w:tcW w:w="1942" w:type="dxa"/>
            <w:vAlign w:val="center"/>
          </w:tcPr>
          <w:p w14:paraId="33886657">
            <w:pPr>
              <w:adjustRightInd w:val="0"/>
              <w:snapToGrid w:val="0"/>
              <w:spacing w:line="300" w:lineRule="exact"/>
              <w:jc w:val="center"/>
              <w:rPr>
                <w:rFonts w:ascii="宋体" w:hAnsi="宋体" w:cs="宋体"/>
                <w:kern w:val="0"/>
                <w:szCs w:val="21"/>
                <w:highlight w:val="none"/>
              </w:rPr>
            </w:pPr>
            <w:r>
              <w:rPr>
                <w:rFonts w:hint="eastAsia" w:ascii="宋体" w:hAnsi="宋体"/>
                <w:szCs w:val="21"/>
                <w:highlight w:val="none"/>
              </w:rPr>
              <w:t>申请文件无效的情形</w:t>
            </w:r>
          </w:p>
        </w:tc>
        <w:tc>
          <w:tcPr>
            <w:tcW w:w="7088" w:type="dxa"/>
            <w:vAlign w:val="center"/>
          </w:tcPr>
          <w:p w14:paraId="5AE219FB">
            <w:pPr>
              <w:pStyle w:val="34"/>
              <w:rPr>
                <w:highlight w:val="none"/>
              </w:rPr>
            </w:pPr>
            <w:r>
              <w:rPr>
                <w:rFonts w:hint="eastAsia"/>
                <w:highlight w:val="none"/>
              </w:rPr>
              <w:t>（1）比选申请文件未加盖单位公章；</w:t>
            </w:r>
          </w:p>
          <w:p w14:paraId="0D07401C">
            <w:pPr>
              <w:pStyle w:val="34"/>
              <w:rPr>
                <w:highlight w:val="none"/>
              </w:rPr>
            </w:pPr>
            <w:r>
              <w:rPr>
                <w:rFonts w:hint="eastAsia"/>
                <w:highlight w:val="none"/>
              </w:rPr>
              <w:t>（2）比选申请文件无法定代表人或法定代表人授权的代理人签字，虽有代理人签字但属无权代理的；</w:t>
            </w:r>
          </w:p>
          <w:p w14:paraId="441D0B3D">
            <w:pPr>
              <w:pStyle w:val="34"/>
              <w:rPr>
                <w:highlight w:val="none"/>
              </w:rPr>
            </w:pPr>
            <w:r>
              <w:rPr>
                <w:rFonts w:hint="eastAsia"/>
                <w:highlight w:val="none"/>
              </w:rPr>
              <w:t>（3）比选申请文件内容不全或关键字迹模糊、无法辨认的或未按规定的格式签署、标记的；</w:t>
            </w:r>
          </w:p>
          <w:p w14:paraId="51F5AB80">
            <w:pPr>
              <w:pStyle w:val="34"/>
              <w:rPr>
                <w:highlight w:val="none"/>
              </w:rPr>
            </w:pPr>
            <w:r>
              <w:rPr>
                <w:rFonts w:hint="eastAsia"/>
                <w:highlight w:val="none"/>
              </w:rPr>
              <w:t>（4）比选申请人递交两份或多份内容不同的比选申请文件，或在一份比选申请文件中对同一项目报有两个或多个报价，且未声明哪一个有效，按比选文件规定提交备选方案的除外；</w:t>
            </w:r>
          </w:p>
          <w:p w14:paraId="34B9C005">
            <w:pPr>
              <w:pStyle w:val="34"/>
              <w:rPr>
                <w:highlight w:val="none"/>
              </w:rPr>
            </w:pPr>
            <w:r>
              <w:rPr>
                <w:rFonts w:hint="eastAsia"/>
                <w:highlight w:val="none"/>
              </w:rPr>
              <w:t>（5）报价有效期不满足比选文件的规定；</w:t>
            </w:r>
          </w:p>
          <w:p w14:paraId="7F2CF92E">
            <w:pPr>
              <w:pStyle w:val="34"/>
              <w:rPr>
                <w:highlight w:val="none"/>
              </w:rPr>
            </w:pPr>
            <w:r>
              <w:rPr>
                <w:rFonts w:hint="eastAsia"/>
                <w:highlight w:val="none"/>
              </w:rPr>
              <w:t>（6）比选申请人未对比选文件的实质性要求和条件（包括合同中的实质性条款）作出响应的；</w:t>
            </w:r>
          </w:p>
          <w:p w14:paraId="3F0944AC">
            <w:pPr>
              <w:pStyle w:val="34"/>
              <w:rPr>
                <w:highlight w:val="none"/>
              </w:rPr>
            </w:pPr>
            <w:r>
              <w:rPr>
                <w:rFonts w:hint="eastAsia"/>
                <w:highlight w:val="none"/>
              </w:rPr>
              <w:t>（7）比选申请人的报价不是固定价格；</w:t>
            </w:r>
          </w:p>
          <w:p w14:paraId="6B874B22">
            <w:pPr>
              <w:pStyle w:val="34"/>
              <w:rPr>
                <w:highlight w:val="none"/>
              </w:rPr>
            </w:pPr>
            <w:r>
              <w:rPr>
                <w:rFonts w:hint="eastAsia"/>
                <w:highlight w:val="none"/>
              </w:rPr>
              <w:t>（8）如所有比选申请文件的报价明显高于市场价格或低于成本价时，评审组有权终止评审，重新组织采购；</w:t>
            </w:r>
          </w:p>
          <w:p w14:paraId="117F48FA">
            <w:pPr>
              <w:pStyle w:val="34"/>
              <w:rPr>
                <w:highlight w:val="none"/>
              </w:rPr>
            </w:pPr>
            <w:r>
              <w:rPr>
                <w:rFonts w:hint="eastAsia"/>
                <w:highlight w:val="none"/>
              </w:rPr>
              <w:t>（9）比选申请人有以他人的名义参加比选活动、串通其他比选申请人、弄虚作假、行贿等违法行为；</w:t>
            </w:r>
          </w:p>
          <w:p w14:paraId="71CBBEE6">
            <w:pPr>
              <w:pStyle w:val="34"/>
              <w:rPr>
                <w:highlight w:val="none"/>
              </w:rPr>
            </w:pPr>
            <w:r>
              <w:rPr>
                <w:rFonts w:hint="eastAsia"/>
                <w:highlight w:val="none"/>
              </w:rPr>
              <w:t>（10）比选申请人发生合并、分立、破产等重大变化，不再具备比选文件规定的资格条件或者其响应影响采购公正性的；</w:t>
            </w:r>
          </w:p>
          <w:p w14:paraId="742B0776">
            <w:pPr>
              <w:tabs>
                <w:tab w:val="left" w:pos="295"/>
              </w:tabs>
              <w:adjustRightInd w:val="0"/>
              <w:snapToGrid w:val="0"/>
              <w:spacing w:line="300" w:lineRule="exact"/>
              <w:rPr>
                <w:rFonts w:ascii="宋体" w:hAnsi="宋体" w:cs="宋体"/>
                <w:szCs w:val="21"/>
                <w:highlight w:val="none"/>
              </w:rPr>
            </w:pPr>
            <w:r>
              <w:rPr>
                <w:rFonts w:hint="eastAsia"/>
                <w:highlight w:val="none"/>
              </w:rPr>
              <w:t>（11）</w:t>
            </w:r>
            <w:r>
              <w:rPr>
                <w:rFonts w:hint="eastAsia"/>
                <w:b/>
                <w:bCs/>
                <w:highlight w:val="none"/>
              </w:rPr>
              <w:t>比选申请单位的报价大于最高限价</w:t>
            </w:r>
            <w:r>
              <w:rPr>
                <w:rFonts w:hint="eastAsia"/>
                <w:highlight w:val="none"/>
              </w:rPr>
              <w:t>。</w:t>
            </w:r>
          </w:p>
        </w:tc>
      </w:tr>
    </w:tbl>
    <w:p w14:paraId="0844C0E9">
      <w:pPr>
        <w:widowControl/>
        <w:spacing w:line="276" w:lineRule="auto"/>
        <w:jc w:val="center"/>
        <w:rPr>
          <w:rFonts w:ascii="宋体" w:hAnsi="宋体"/>
          <w:b/>
          <w:color w:val="auto"/>
          <w:sz w:val="32"/>
          <w:szCs w:val="32"/>
          <w:highlight w:val="none"/>
        </w:rPr>
      </w:pPr>
      <w:bookmarkStart w:id="34" w:name="_Toc432171176"/>
      <w:bookmarkStart w:id="35" w:name="_Toc249706198"/>
    </w:p>
    <w:p w14:paraId="275B3D93">
      <w:pPr>
        <w:spacing w:before="120" w:after="120" w:line="360" w:lineRule="auto"/>
        <w:jc w:val="left"/>
        <w:outlineLvl w:val="9"/>
        <w:rPr>
          <w:rFonts w:ascii="宋体" w:hAnsi="宋体"/>
          <w:snapToGrid w:val="0"/>
          <w:color w:val="auto"/>
          <w:sz w:val="21"/>
          <w:szCs w:val="21"/>
          <w:highlight w:val="none"/>
        </w:rPr>
      </w:pPr>
      <w:r>
        <w:rPr>
          <w:rFonts w:hint="eastAsia" w:ascii="宋体" w:hAnsi="宋体" w:eastAsia="宋体" w:cs="宋体"/>
          <w:b w:val="0"/>
          <w:bCs w:val="0"/>
          <w:color w:val="auto"/>
          <w:sz w:val="21"/>
          <w:szCs w:val="21"/>
          <w:highlight w:val="none"/>
          <w:lang w:val="en-US" w:eastAsia="zh-CN"/>
        </w:rPr>
        <w:t>附件一</w:t>
      </w:r>
    </w:p>
    <w:p w14:paraId="2DE535D5">
      <w:pPr>
        <w:spacing w:before="120" w:after="120" w:line="360" w:lineRule="auto"/>
        <w:jc w:val="left"/>
        <w:outlineLvl w:val="9"/>
        <w:rPr>
          <w:rFonts w:ascii="宋体" w:hAnsi="宋体"/>
          <w:snapToGrid w:val="0"/>
          <w:color w:val="auto"/>
          <w:sz w:val="21"/>
          <w:szCs w:val="21"/>
          <w:highlight w:val="none"/>
        </w:rPr>
      </w:pPr>
      <w:r>
        <w:rPr>
          <w:rFonts w:hint="eastAsia" w:ascii="宋体" w:hAnsi="宋体" w:eastAsia="宋体" w:cs="宋体"/>
          <w:b w:val="0"/>
          <w:bCs w:val="0"/>
          <w:color w:val="auto"/>
          <w:sz w:val="21"/>
          <w:szCs w:val="21"/>
          <w:highlight w:val="none"/>
        </w:rPr>
        <w:t>服务需求规格</w:t>
      </w:r>
    </w:p>
    <w:tbl>
      <w:tblPr>
        <w:tblStyle w:val="15"/>
        <w:tblW w:w="10130"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048"/>
        <w:gridCol w:w="6224"/>
        <w:gridCol w:w="696"/>
        <w:gridCol w:w="661"/>
        <w:gridCol w:w="853"/>
      </w:tblGrid>
      <w:tr w14:paraId="2D34A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shd w:val="clear" w:color="auto" w:fill="C0C0C0"/>
            <w:noWrap w:val="0"/>
            <w:vAlign w:val="center"/>
          </w:tcPr>
          <w:p w14:paraId="73E59F6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048" w:type="dxa"/>
            <w:shd w:val="clear" w:color="auto" w:fill="C0C0C0"/>
            <w:noWrap w:val="0"/>
            <w:vAlign w:val="center"/>
          </w:tcPr>
          <w:p w14:paraId="2877E02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项名称</w:t>
            </w:r>
          </w:p>
        </w:tc>
        <w:tc>
          <w:tcPr>
            <w:tcW w:w="6224" w:type="dxa"/>
            <w:shd w:val="clear" w:color="auto" w:fill="C0C0C0"/>
            <w:noWrap w:val="0"/>
            <w:vAlign w:val="center"/>
          </w:tcPr>
          <w:p w14:paraId="1CF4AC3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技术规格</w:t>
            </w:r>
          </w:p>
        </w:tc>
        <w:tc>
          <w:tcPr>
            <w:tcW w:w="696" w:type="dxa"/>
            <w:shd w:val="clear" w:color="auto" w:fill="C0C0C0"/>
            <w:noWrap w:val="0"/>
            <w:vAlign w:val="center"/>
          </w:tcPr>
          <w:p w14:paraId="2479FB4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661" w:type="dxa"/>
            <w:shd w:val="clear" w:color="auto" w:fill="C0C0C0"/>
            <w:noWrap w:val="0"/>
            <w:vAlign w:val="center"/>
          </w:tcPr>
          <w:p w14:paraId="266DD4E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853" w:type="dxa"/>
            <w:shd w:val="clear" w:color="auto" w:fill="C0C0C0"/>
            <w:noWrap w:val="0"/>
            <w:vAlign w:val="center"/>
          </w:tcPr>
          <w:p w14:paraId="0BC499E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14:paraId="0B470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0130" w:type="dxa"/>
            <w:gridSpan w:val="6"/>
            <w:shd w:val="clear" w:color="auto" w:fill="BFBFBF"/>
            <w:noWrap w:val="0"/>
            <w:vAlign w:val="center"/>
          </w:tcPr>
          <w:p w14:paraId="050A53E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一、停车道闸管理系统</w:t>
            </w:r>
          </w:p>
        </w:tc>
      </w:tr>
      <w:tr w14:paraId="08BDE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648" w:type="dxa"/>
            <w:noWrap/>
            <w:vAlign w:val="center"/>
          </w:tcPr>
          <w:p w14:paraId="26D553B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w:t>
            </w:r>
          </w:p>
        </w:tc>
        <w:tc>
          <w:tcPr>
            <w:tcW w:w="1048" w:type="dxa"/>
            <w:noWrap w:val="0"/>
            <w:vAlign w:val="center"/>
          </w:tcPr>
          <w:p w14:paraId="1E05EA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进出口道闸</w:t>
            </w:r>
          </w:p>
        </w:tc>
        <w:tc>
          <w:tcPr>
            <w:tcW w:w="6224" w:type="dxa"/>
            <w:noWrap w:val="0"/>
            <w:vAlign w:val="center"/>
          </w:tcPr>
          <w:p w14:paraId="4BDD19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1.杆型类型：直杆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2.电机类型：直流无刷，保障闸杆运行精确定位，平稳、低噪音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3.噪⾳要求：低于行业标准（≤70分贝）</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4.机芯寿命：≥500万次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5.开闸速度：1.2s~4.5s可调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6.通信接口：TCP/IP、I/O</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7.闸杆方向：支持左右向可选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8.车辆防砸：采用“车辆检测”、“数字防砸”、“开优先”三重防砸设计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9.断电起落杆：机械锁死，需要打开机箱手动转动机械手柄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10.防护等级：IP54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11.机箱材质：机⾝主体采⽤厚度1.5mm的⾼强度碳钢板材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设备具备开优先功能，当栏杆处于非放行状态而收到放行指令时，应立即运行到放行状态。检测车辆的信号从有车到无车时，能控制驱动部分驱动栏杆运行到禁行状态。栏杆完成禁行状态到放行状态转换、或完成放行状态到禁行状态转换的单程运行时间可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13.▲栏杆处于禁行状态时，在没有任何支撑的情况下，栏杆扰度不大于60mm；栏杆主杆能承受不低于250N的静压力，不出现机械损伤或产生永久变形。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14.▲道闸可通过APP移动端、无线遥控器实现遥控操作,遥控距离应≥30m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15.▲放行计数控制：设备宜具有放行计数控制功能，设备记录接受放行指令的次数与通过车辆检测器感知车辆通过的次数，判定相等并在车辆检测信号为无车时，设备自动运行到禁行状态。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16.▲具有应急放行功能：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1.手动或借助辅助工具使栏杆处于“放行”状态；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2.手动或借助辅助工具使栏杆与机身分离；</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3.电源断电后世栏杆能够运行到“放行状态”。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17.▲通行安全功能：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1）车辆检测信号为有车时，处于放行状态的栏杆应不改变状态，处于“放行”状态转</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变为“禁行”状态的栏杆停止运行或自动返回到“放行”状态；栏杆从放行状态向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进行状态转变过程遇阻时，自动返回放行状态或停止运行；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2）设备的所有缝隙及运动（转动）部件具备防止对人可能伤害的措施；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3）设备可能被通行车辆碰撞或冲击的部位，不宜采用宜破碎飞溅的材料；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4）当起杆或落杆单程运行的时间超过制造商预设值时，则栏杆停止动作。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电动机运转有过负荷保护功能，包括过流保护、过压保护等，不仅适用熔断型保险丝实现保护。当出入口控制设备执行启闭动作的电动或电磁等部件短路时，进行任何开启、关闭操作都不会导致电源损坏，允许更换保险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19.▲内置500万车牌识别摄像机，镜头：4.3mm定焦镜头（选配8mm）。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20.▲500W超广角，识别纵深可达10米，对角成像角度≥110°左右免调，上下±18°可调，适应各种特殊车道。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（“▲”项，投标人选择投标产品厂商须提供相关内容的第三方检测报告复印件，并加盖制造商公章。）</w:t>
            </w:r>
          </w:p>
        </w:tc>
        <w:tc>
          <w:tcPr>
            <w:tcW w:w="696" w:type="dxa"/>
            <w:noWrap/>
            <w:vAlign w:val="center"/>
          </w:tcPr>
          <w:p w14:paraId="3362D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26879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53" w:type="dxa"/>
            <w:noWrap w:val="0"/>
            <w:vAlign w:val="center"/>
          </w:tcPr>
          <w:p w14:paraId="3DFA1C1E">
            <w:pPr>
              <w:rPr>
                <w:rFonts w:hint="eastAsia" w:ascii="宋体" w:hAnsi="宋体" w:eastAsia="宋体" w:cs="宋体"/>
                <w:i w:val="0"/>
                <w:iCs w:val="0"/>
                <w:color w:val="000000"/>
                <w:sz w:val="18"/>
                <w:szCs w:val="18"/>
                <w:u w:val="none"/>
              </w:rPr>
            </w:pPr>
          </w:p>
        </w:tc>
      </w:tr>
      <w:tr w14:paraId="40D5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dxa"/>
            <w:noWrap/>
            <w:vAlign w:val="center"/>
          </w:tcPr>
          <w:p w14:paraId="282FF41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w:t>
            </w:r>
          </w:p>
        </w:tc>
        <w:tc>
          <w:tcPr>
            <w:tcW w:w="1048" w:type="dxa"/>
            <w:noWrap w:val="0"/>
            <w:vAlign w:val="center"/>
          </w:tcPr>
          <w:p w14:paraId="52352C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进出口控制机</w:t>
            </w:r>
          </w:p>
        </w:tc>
        <w:tc>
          <w:tcPr>
            <w:tcW w:w="6224" w:type="dxa"/>
            <w:noWrap w:val="0"/>
            <w:vAlign w:val="center"/>
          </w:tcPr>
          <w:p w14:paraId="3F0CACF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color w:val="000000"/>
                <w:kern w:val="0"/>
                <w:sz w:val="18"/>
                <w:szCs w:val="18"/>
                <w:u w:val="none"/>
                <w:lang w:bidi="ar"/>
              </w:rPr>
              <w:t>▲记录存储容量：支持不低于 5万条</w:t>
            </w:r>
          </w:p>
          <w:p w14:paraId="5684AFD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2.▲用户存储容量：支持不低于20万条</w:t>
            </w:r>
          </w:p>
          <w:p w14:paraId="7D4483E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3.记录存储抓拍照片：支持不低于500张</w:t>
            </w:r>
          </w:p>
          <w:p w14:paraId="5DC1B39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4.内核CPU：四核高频（1.5GHz）处理器</w:t>
            </w:r>
          </w:p>
          <w:p w14:paraId="0DB7156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5.DDR4 2G内存，EMMC 8GBC存储，Linux操作系统</w:t>
            </w:r>
          </w:p>
          <w:p w14:paraId="0CFA367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6.通讯方式：支持 TCP/IP、4G（选配）， 有线/无线智能互切</w:t>
            </w:r>
          </w:p>
          <w:p w14:paraId="0FDB5E6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7.▲显示屏： 不小于15.6寸工业级LCD显示屏，屏幕尺寸大，交互体验佳；</w:t>
            </w:r>
          </w:p>
          <w:p w14:paraId="184864F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亮度最高支持1000LUX，行业领先，扫码效果更好，75°高温正常显示</w:t>
            </w:r>
          </w:p>
          <w:p w14:paraId="72C3405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8.显示交互信息：可支持智能化、行业化、情景化的可自定义显示交互；</w:t>
            </w:r>
          </w:p>
          <w:p w14:paraId="03026A1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9.可视对讲功能：配200万针孔摄像机、机械按钮，支持可视对讲、远程业务托管</w:t>
            </w:r>
          </w:p>
          <w:p w14:paraId="3714906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10.语音提示：自带TTS语音库，支持智能化、行业化、情景化的可自定义语音提示</w:t>
            </w:r>
          </w:p>
          <w:p w14:paraId="7D58E99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 xml:space="preserve">11.通行凭证：车牌、静态/动态二维码、刷卡  </w:t>
            </w:r>
          </w:p>
          <w:p w14:paraId="51239A1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12.双路协调：支持两路车牌识别相机</w:t>
            </w:r>
          </w:p>
          <w:p w14:paraId="438C3C8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13.对接网络道闸： 支持IP/IO道闸，支持双道闸应用，支持单通道共用道闸车场模式</w:t>
            </w:r>
          </w:p>
          <w:p w14:paraId="361730C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14.支持视频/地感触发抓拍、识别，支持虚拟地感触发</w:t>
            </w:r>
          </w:p>
          <w:p w14:paraId="72BFDDF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15.识别功能（外接辅助相机）:</w:t>
            </w:r>
          </w:p>
          <w:p w14:paraId="36638E6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车牌识别率(白天): ≥99.8%</w:t>
            </w:r>
          </w:p>
          <w:p w14:paraId="355B32A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车牌识别率(夜晚/黑天/光线弱配合补光灯条件下): 全≥99.6%</w:t>
            </w:r>
          </w:p>
          <w:p w14:paraId="73ABB35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车牌颜色识别率: 全天候≥99%</w:t>
            </w:r>
          </w:p>
          <w:p w14:paraId="2E0855F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车牌捕获率：视频流触发≥99.9%</w:t>
            </w:r>
          </w:p>
          <w:p w14:paraId="4BEBBB3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▲识别效果：最大识别角度78°，雨、雾识别率≥98%</w:t>
            </w:r>
          </w:p>
          <w:p w14:paraId="5FA1A1E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▲防伪能力：纸打车牌防伪率≥95%，手机车牌防伪率≥98%</w:t>
            </w:r>
          </w:p>
          <w:p w14:paraId="6E8C275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▲车牌识别识速度（含防伪）≤0.5S</w:t>
            </w:r>
          </w:p>
          <w:p w14:paraId="3ABA91D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车牌识别识速度（不含防伪）≤0.3S</w:t>
            </w:r>
          </w:p>
          <w:p w14:paraId="12ECD89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车牌识别车速：≤40km/h</w:t>
            </w:r>
          </w:p>
          <w:p w14:paraId="58FAB8B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车牌识范围:全系车牌，含黑牌、黄牌、蓝牌、白牌、民用车牌、港澳牌、警牌、武警牌、军牌、民航、使馆牌、领事馆牌、新使馆牌、新领事馆牌、新能源牌的全汉字、字母、数字识别以及特殊个性车牌等</w:t>
            </w:r>
          </w:p>
          <w:p w14:paraId="7FE361F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 xml:space="preserve"> 相似字符识别：正确识别车牌中的汉字、字母及数字，相似的省份汉字、字母识别率可达99%以上</w:t>
            </w:r>
          </w:p>
          <w:p w14:paraId="7EBF7A4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支持识别车牌宽度：像数100-600范围内，可正常识别</w:t>
            </w:r>
          </w:p>
          <w:p w14:paraId="759BFE6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参数设置：支持识别区域、屏蔽区域、车牌识别大小、动态默认省份等设置</w:t>
            </w:r>
          </w:p>
          <w:p w14:paraId="0CF5528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16.音频：不低于70db(A)，对讲距离1M,声音清晰无回音</w:t>
            </w:r>
          </w:p>
          <w:p w14:paraId="6E60916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17.内置对讲摄像头：200万星光级，彩色摄像头，6mm镜头</w:t>
            </w:r>
          </w:p>
          <w:p w14:paraId="2296689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18.支持卡片类型：IC卡/cup卡</w:t>
            </w:r>
          </w:p>
          <w:p w14:paraId="1B92045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19.读卡时间：IC卡＜0.2S，CPU卡＜0.3S，</w:t>
            </w:r>
          </w:p>
          <w:p w14:paraId="12E0873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20.读卡距离：IC卡3~5cm，CPU卡2~4cm，</w:t>
            </w:r>
          </w:p>
          <w:p w14:paraId="3E7B4C1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21.▲二维码读头：支付距离0.8~1.5m,响应时间小于1s</w:t>
            </w:r>
          </w:p>
          <w:p w14:paraId="5DD6A6E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22.▲控制机当面付集成一体：出口控制机配置当面付功能,可实现移动手机被扫支付，支持 20cm~150cm范围内付款码扫码缴费</w:t>
            </w:r>
          </w:p>
          <w:p w14:paraId="733710A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23.▲车辆进入识别区域-道闸开闸到位的通行时间≤2.8S</w:t>
            </w:r>
          </w:p>
          <w:p w14:paraId="75F0AA0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8.▲“锁定物特征”识别方式：车辆检测-锁定物特征-绑定车牌-持续跟踪纠正，车牌比对成功率更高，无牌车及逃费车辆的出入场信息精准</w:t>
            </w:r>
          </w:p>
          <w:p w14:paraId="327636D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9.昼/夜模式交互设计： 昼间模式渐采用浅色设计，突出文字对比度，日照环境下信息显示及扫码效果更佳；夜间模式采用暗色设计，黑暗环境下显示效果柔和，防眩光不刺眼</w:t>
            </w:r>
          </w:p>
          <w:p w14:paraId="5EE33FE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24.工作电压：AC220V±10%，50HZ</w:t>
            </w:r>
          </w:p>
          <w:p w14:paraId="40782AB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25.额定功率：65W</w:t>
            </w:r>
          </w:p>
          <w:p w14:paraId="5644F98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26.工作温度：-25℃-+70℃</w:t>
            </w:r>
          </w:p>
          <w:p w14:paraId="149D9B5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27.储运温度：-30℃-+75℃</w:t>
            </w:r>
          </w:p>
          <w:p w14:paraId="215097F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28.工作湿度：≤90%，⽆凝露 （常温下）</w:t>
            </w:r>
          </w:p>
          <w:p w14:paraId="15B827B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29.储运湿度：≤95%，⽆凝露 （常温下）</w:t>
            </w:r>
          </w:p>
          <w:p w14:paraId="2468C73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30.环境适应性：通风孔+除雾散热风扇+防雨护罩+防雨膜</w:t>
            </w:r>
          </w:p>
          <w:p w14:paraId="11809BB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31.使用寿命：5年以上</w:t>
            </w:r>
          </w:p>
          <w:p w14:paraId="66D8A02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val="en-US" w:eastAsia="zh-CN" w:bidi="ar"/>
              </w:rPr>
              <w:t>32</w:t>
            </w:r>
            <w:r>
              <w:rPr>
                <w:rFonts w:hint="eastAsia" w:ascii="宋体" w:hAnsi="宋体" w:cs="宋体"/>
                <w:color w:val="000000"/>
                <w:kern w:val="0"/>
                <w:sz w:val="18"/>
                <w:szCs w:val="18"/>
                <w:u w:val="none"/>
                <w:lang w:bidi="ar"/>
              </w:rPr>
              <w:t>防护等级： IP54</w:t>
            </w:r>
          </w:p>
          <w:p w14:paraId="526198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（“▲”项，投标人选择投标产品厂商须提供相关内容的第三方检测报告复印件，并加盖制造商公章。）</w:t>
            </w:r>
          </w:p>
        </w:tc>
        <w:tc>
          <w:tcPr>
            <w:tcW w:w="696" w:type="dxa"/>
            <w:noWrap/>
            <w:vAlign w:val="center"/>
          </w:tcPr>
          <w:p w14:paraId="21F1C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2</w:t>
            </w:r>
          </w:p>
        </w:tc>
        <w:tc>
          <w:tcPr>
            <w:tcW w:w="661" w:type="dxa"/>
            <w:noWrap/>
            <w:vAlign w:val="center"/>
          </w:tcPr>
          <w:p w14:paraId="47EEBB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53" w:type="dxa"/>
            <w:noWrap w:val="0"/>
            <w:vAlign w:val="center"/>
          </w:tcPr>
          <w:p w14:paraId="41100F41">
            <w:pPr>
              <w:jc w:val="left"/>
              <w:rPr>
                <w:rFonts w:hint="eastAsia" w:ascii="宋体" w:hAnsi="宋体" w:eastAsia="宋体" w:cs="宋体"/>
                <w:i w:val="0"/>
                <w:iCs w:val="0"/>
                <w:color w:val="000000"/>
                <w:sz w:val="18"/>
                <w:szCs w:val="18"/>
                <w:u w:val="none"/>
              </w:rPr>
            </w:pPr>
          </w:p>
        </w:tc>
      </w:tr>
      <w:tr w14:paraId="6096D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48" w:type="dxa"/>
            <w:noWrap/>
            <w:vAlign w:val="center"/>
          </w:tcPr>
          <w:p w14:paraId="5597C1C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3</w:t>
            </w:r>
          </w:p>
        </w:tc>
        <w:tc>
          <w:tcPr>
            <w:tcW w:w="1048" w:type="dxa"/>
            <w:noWrap w:val="0"/>
            <w:vAlign w:val="center"/>
          </w:tcPr>
          <w:p w14:paraId="683F18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地感处理器</w:t>
            </w:r>
          </w:p>
        </w:tc>
        <w:tc>
          <w:tcPr>
            <w:tcW w:w="6224" w:type="dxa"/>
            <w:noWrap w:val="0"/>
            <w:vAlign w:val="center"/>
          </w:tcPr>
          <w:p w14:paraId="2E7A60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1.工作电压：AC220V，50HZ，额定功率≤3W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环境温度：-25 ～ +70℃ ，相对湿度：≤90%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工作地感量: 80～500uH，响应时间：100ms、250ms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4.非机动车辆检测：支持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 .检测率：99.99%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 .静电等级：满足GB/T17626.2规定的3级测试标准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 .介电强度：电源输入端与外壳之间的耐压＞1.5kv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 .使用寿命：3~5年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 平均无故障时间：5000小时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 车辆检测：支持轿车、SUV、小型货车、摩托车、电动车和物流园高底盘车辆检测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11.信号输出：12高低电平开关量信号输出或脉冲信号输出（1s）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12.检测模式：支持延时模式、摩汽共道模式、快速模式、安全模式等4种检测模式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 灵敏度：分为高、中、低三档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 状态指示：红绿双色指示灯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 断电重启：断电后重新上电7s内自动恢复正常工作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16. 线圈故障：断开输出信号（防止砸车）并通过指示灯提示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17. 环境适应性：在-25 ～ +70℃工作温度范围内，地面积水、结冰不影响车辆检测；周围环境有静态金属物或静态金属物稳定后可自适应现场环境，不影响车辆检测；相邻车道地感线圈间距＞1.5m不会产生干扰。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18. 现场地感量低于 70uH时，指示灯会自动报警</w:t>
            </w:r>
          </w:p>
        </w:tc>
        <w:tc>
          <w:tcPr>
            <w:tcW w:w="696" w:type="dxa"/>
            <w:noWrap w:val="0"/>
            <w:vAlign w:val="center"/>
          </w:tcPr>
          <w:p w14:paraId="0F672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0"/>
            <w:vAlign w:val="center"/>
          </w:tcPr>
          <w:p w14:paraId="0D9CDE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53" w:type="dxa"/>
            <w:noWrap w:val="0"/>
            <w:vAlign w:val="center"/>
          </w:tcPr>
          <w:p w14:paraId="17B1C819">
            <w:pPr>
              <w:rPr>
                <w:rFonts w:hint="eastAsia" w:ascii="宋体" w:hAnsi="宋体" w:eastAsia="宋体" w:cs="宋体"/>
                <w:i w:val="0"/>
                <w:iCs w:val="0"/>
                <w:color w:val="FF0000"/>
                <w:sz w:val="18"/>
                <w:szCs w:val="18"/>
                <w:u w:val="none"/>
              </w:rPr>
            </w:pPr>
          </w:p>
        </w:tc>
      </w:tr>
      <w:tr w14:paraId="6360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648" w:type="dxa"/>
            <w:noWrap/>
            <w:vAlign w:val="center"/>
          </w:tcPr>
          <w:p w14:paraId="296C4090">
            <w:pPr>
              <w:keepNext w:val="0"/>
              <w:keepLines w:val="0"/>
              <w:widowControl/>
              <w:suppressLineNumbers w:val="0"/>
              <w:jc w:val="center"/>
              <w:textAlignment w:val="center"/>
              <w:rPr>
                <w:rFonts w:hint="default" w:ascii="宋体" w:hAnsi="宋体" w:cs="宋体"/>
                <w:b/>
                <w:bCs/>
                <w:i w:val="0"/>
                <w:iCs w:val="0"/>
                <w:color w:val="000000"/>
                <w:kern w:val="0"/>
                <w:sz w:val="18"/>
                <w:szCs w:val="18"/>
                <w:u w:val="none"/>
                <w:lang w:val="en-US" w:eastAsia="zh-CN" w:bidi="ar"/>
              </w:rPr>
            </w:pPr>
            <w:r>
              <w:rPr>
                <w:rFonts w:hint="eastAsia" w:ascii="宋体" w:hAnsi="宋体" w:cs="宋体"/>
                <w:b/>
                <w:bCs/>
                <w:i w:val="0"/>
                <w:iCs w:val="0"/>
                <w:color w:val="000000"/>
                <w:kern w:val="0"/>
                <w:sz w:val="18"/>
                <w:szCs w:val="18"/>
                <w:u w:val="none"/>
                <w:lang w:val="en-US" w:eastAsia="zh-CN" w:bidi="ar"/>
              </w:rPr>
              <w:t>4</w:t>
            </w:r>
          </w:p>
        </w:tc>
        <w:tc>
          <w:tcPr>
            <w:tcW w:w="1048" w:type="dxa"/>
            <w:noWrap w:val="0"/>
            <w:vAlign w:val="center"/>
          </w:tcPr>
          <w:p w14:paraId="5DFD27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AI车道检测摄像机</w:t>
            </w:r>
          </w:p>
        </w:tc>
        <w:tc>
          <w:tcPr>
            <w:tcW w:w="6224" w:type="dxa"/>
            <w:noWrap w:val="0"/>
            <w:vAlign w:val="center"/>
          </w:tcPr>
          <w:p w14:paraId="7E41A3B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1.工作电压：AC220V±10%，50/60HZ</w:t>
            </w:r>
          </w:p>
          <w:p w14:paraId="1AF68E1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2.额定功率：45W</w:t>
            </w:r>
          </w:p>
          <w:p w14:paraId="645BCB1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3.效果灯光：暖光氛围灯</w:t>
            </w:r>
          </w:p>
          <w:p w14:paraId="6760D32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4.摄像头：500万高清摄像头</w:t>
            </w:r>
          </w:p>
          <w:p w14:paraId="63BD392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5.镜头：4.3mm定焦镜头，传感器：1/2.8''超低照度CMOS传感器；</w:t>
            </w:r>
          </w:p>
          <w:p w14:paraId="463A57F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6.500万像素，最低照度支持0.001lux@F1.6，视频压缩格式：H.265/ H.264，最大分辨率：2560*1920；</w:t>
            </w:r>
          </w:p>
          <w:p w14:paraId="3B04641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7.支持主次码流设置、编码格式支持H.264/265，可变/固定码流，默认分辨率下默认码流6144kbps(5M)，</w:t>
            </w:r>
          </w:p>
          <w:p w14:paraId="0824225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8.▲500W超广角，识别纵深可达10米，对角成像角度≥110°轻松覆盖整个车道</w:t>
            </w:r>
          </w:p>
          <w:p w14:paraId="194C6A1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9.▲左右免调，上下±18°可调，适应各种特殊车道</w:t>
            </w:r>
          </w:p>
          <w:p w14:paraId="5463E54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10.三防设计：三防摄像头模组，防水、防尘、防凝露遮雨罩伸缩可调节，保证雨雾天气精准识别</w:t>
            </w:r>
          </w:p>
          <w:p w14:paraId="6CE51D4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 xml:space="preserve">11.通讯接口：TCP/IP </w:t>
            </w:r>
          </w:p>
          <w:p w14:paraId="051D9D4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12.车牌识别率：≥99.8%（全天候）</w:t>
            </w:r>
          </w:p>
          <w:p w14:paraId="0C69884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13.▲车辆检测：车辆特征、车辆行为(滞留/跟车/逆行/倒车)等精准捕获，取证逃费出场，协同补缴业务流实现追缴</w:t>
            </w:r>
          </w:p>
          <w:p w14:paraId="3836E78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14.机动车检测：车牌识别、无牌车检测、车辆滞留、倒车、车标、车颜色</w:t>
            </w:r>
          </w:p>
          <w:p w14:paraId="20308AA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15.非机动车：摩托车、车辆滞留、倒车</w:t>
            </w:r>
          </w:p>
          <w:p w14:paraId="3BA9D0F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16.▲支持单层应急车牌、双层黄牌</w:t>
            </w:r>
          </w:p>
          <w:p w14:paraId="71F1A1B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17.支持道闸杆不在报警、抓拍道闸杆图、行人入侵报警、车辆入侵报警、车辆滞留报警</w:t>
            </w:r>
          </w:p>
          <w:p w14:paraId="4DBCCEC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18.道闸关到位检测：通行业务流程执行后，视频算法检测道闸是否关到位</w:t>
            </w:r>
          </w:p>
          <w:p w14:paraId="0DE0B1D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19.大像素识别：像数100-600范围内，可正常识别</w:t>
            </w:r>
          </w:p>
          <w:p w14:paraId="5862298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color w:val="000000"/>
                <w:kern w:val="0"/>
                <w:sz w:val="18"/>
                <w:szCs w:val="18"/>
                <w:u w:val="none"/>
                <w:lang w:bidi="ar"/>
              </w:rPr>
              <w:t>“▲”项，投标人或投标产品厂商须提供相关内容的第三方检测报告复印件，并加盖公章。</w:t>
            </w:r>
          </w:p>
        </w:tc>
        <w:tc>
          <w:tcPr>
            <w:tcW w:w="696" w:type="dxa"/>
            <w:noWrap/>
            <w:vAlign w:val="center"/>
          </w:tcPr>
          <w:p w14:paraId="3946D722">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p>
        </w:tc>
        <w:tc>
          <w:tcPr>
            <w:tcW w:w="661" w:type="dxa"/>
            <w:noWrap/>
            <w:vAlign w:val="center"/>
          </w:tcPr>
          <w:p w14:paraId="2ADA09E4">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台</w:t>
            </w:r>
          </w:p>
        </w:tc>
        <w:tc>
          <w:tcPr>
            <w:tcW w:w="853" w:type="dxa"/>
            <w:noWrap w:val="0"/>
            <w:vAlign w:val="center"/>
          </w:tcPr>
          <w:p w14:paraId="09E3AE91">
            <w:pPr>
              <w:jc w:val="left"/>
              <w:rPr>
                <w:rFonts w:hint="eastAsia" w:ascii="宋体" w:hAnsi="宋体" w:eastAsia="宋体" w:cs="宋体"/>
                <w:i w:val="0"/>
                <w:iCs w:val="0"/>
                <w:color w:val="000000"/>
                <w:sz w:val="18"/>
                <w:szCs w:val="18"/>
                <w:u w:val="none"/>
              </w:rPr>
            </w:pPr>
          </w:p>
        </w:tc>
      </w:tr>
      <w:tr w14:paraId="36C7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648" w:type="dxa"/>
            <w:noWrap/>
            <w:vAlign w:val="center"/>
          </w:tcPr>
          <w:p w14:paraId="3AB459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4</w:t>
            </w:r>
          </w:p>
        </w:tc>
        <w:tc>
          <w:tcPr>
            <w:tcW w:w="1048" w:type="dxa"/>
            <w:noWrap w:val="0"/>
            <w:vAlign w:val="center"/>
          </w:tcPr>
          <w:p w14:paraId="172C69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车牌识别摄像机</w:t>
            </w:r>
          </w:p>
        </w:tc>
        <w:tc>
          <w:tcPr>
            <w:tcW w:w="6224" w:type="dxa"/>
            <w:noWrap w:val="0"/>
            <w:vAlign w:val="center"/>
          </w:tcPr>
          <w:p w14:paraId="04BDD3A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color w:val="000000"/>
                <w:kern w:val="0"/>
                <w:sz w:val="18"/>
                <w:szCs w:val="18"/>
                <w:u w:val="none"/>
                <w:lang w:bidi="ar"/>
              </w:rPr>
              <w:t>.工作电压：AC220V±10%，50/60HZ</w:t>
            </w:r>
          </w:p>
          <w:p w14:paraId="22DFCA3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2.额定功率：45W</w:t>
            </w:r>
          </w:p>
          <w:p w14:paraId="27A2DE0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3.效果灯光：暖光氛围灯</w:t>
            </w:r>
          </w:p>
          <w:p w14:paraId="51BF991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4.▲摄像头：500万高清摄像头</w:t>
            </w:r>
          </w:p>
          <w:p w14:paraId="09CBEA8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5.镜头：4.3mm定焦镜头，传感器：1/2.8''超低照度CMOS传感器；</w:t>
            </w:r>
          </w:p>
          <w:p w14:paraId="1BCEEC5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6.500万像素，最低照度支持0.001lux@F1.6，视频压缩格式：H.265/ H.264，最大分辨率：2560*1920；</w:t>
            </w:r>
          </w:p>
          <w:p w14:paraId="630B5C7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7.支持主次码流设置、编码格式支持H.264/265，可变/固定码流，默认分辨率下默认码流6144kbps(5M)，</w:t>
            </w:r>
          </w:p>
          <w:p w14:paraId="592658A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8.500W超广角，识别纵深可达10米，对角成像角度≥110°轻松覆盖整个车道</w:t>
            </w:r>
          </w:p>
          <w:p w14:paraId="2EE2B0F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9.▲左右免调，上下±18°可调，适应各种特殊车道</w:t>
            </w:r>
          </w:p>
          <w:p w14:paraId="061E622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10.▲三防设计：三防摄像头模组，防水、防尘、防凝露遮雨罩伸缩可调节，保证雨雾天气精准识别</w:t>
            </w:r>
          </w:p>
          <w:p w14:paraId="02E324B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 xml:space="preserve">11.通讯接口：TCP/IP </w:t>
            </w:r>
          </w:p>
          <w:p w14:paraId="51C58CB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12.车牌识别率：≥99.8%（全天候）</w:t>
            </w:r>
          </w:p>
          <w:p w14:paraId="4079ADB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13.车辆捕获率：≥99%</w:t>
            </w:r>
          </w:p>
          <w:p w14:paraId="792E7CC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14.支持识别车牌宽度：像数100-600范围内，可正常识别</w:t>
            </w:r>
          </w:p>
          <w:p w14:paraId="4390D05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15.防雷级别：满足三级防雷保护</w:t>
            </w:r>
          </w:p>
          <w:p w14:paraId="4B49D03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外壳防护等级：IP54</w:t>
            </w:r>
          </w:p>
          <w:p w14:paraId="264D643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eastAsia="宋体" w:cs="宋体"/>
                <w:i w:val="0"/>
                <w:iCs w:val="0"/>
                <w:color w:val="000000"/>
                <w:kern w:val="0"/>
                <w:sz w:val="18"/>
                <w:szCs w:val="18"/>
                <w:u w:val="none"/>
                <w:lang w:val="en-US" w:eastAsia="zh-CN" w:bidi="ar"/>
              </w:rPr>
              <w:t>（“▲”项，投标人选择投标产品厂商须提供相关内容的第三方检测报告复印件，并加盖制造商公章。）</w:t>
            </w:r>
          </w:p>
        </w:tc>
        <w:tc>
          <w:tcPr>
            <w:tcW w:w="696" w:type="dxa"/>
            <w:noWrap/>
            <w:vAlign w:val="center"/>
          </w:tcPr>
          <w:p w14:paraId="755DEE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2</w:t>
            </w:r>
          </w:p>
        </w:tc>
        <w:tc>
          <w:tcPr>
            <w:tcW w:w="661" w:type="dxa"/>
            <w:noWrap/>
            <w:vAlign w:val="center"/>
          </w:tcPr>
          <w:p w14:paraId="112458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53" w:type="dxa"/>
            <w:noWrap w:val="0"/>
            <w:vAlign w:val="center"/>
          </w:tcPr>
          <w:p w14:paraId="4F2E7666">
            <w:pPr>
              <w:jc w:val="left"/>
              <w:rPr>
                <w:rFonts w:hint="eastAsia" w:ascii="宋体" w:hAnsi="宋体" w:eastAsia="宋体" w:cs="宋体"/>
                <w:i w:val="0"/>
                <w:iCs w:val="0"/>
                <w:color w:val="000000"/>
                <w:sz w:val="18"/>
                <w:szCs w:val="18"/>
                <w:u w:val="none"/>
              </w:rPr>
            </w:pPr>
          </w:p>
        </w:tc>
      </w:tr>
      <w:tr w14:paraId="23B9F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48" w:type="dxa"/>
            <w:noWrap/>
            <w:vAlign w:val="center"/>
          </w:tcPr>
          <w:p w14:paraId="0356E41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5</w:t>
            </w:r>
          </w:p>
        </w:tc>
        <w:tc>
          <w:tcPr>
            <w:tcW w:w="1048" w:type="dxa"/>
            <w:noWrap w:val="0"/>
            <w:vAlign w:val="center"/>
          </w:tcPr>
          <w:p w14:paraId="6AB0F3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智能终端管理软件</w:t>
            </w:r>
          </w:p>
        </w:tc>
        <w:tc>
          <w:tcPr>
            <w:tcW w:w="6224" w:type="dxa"/>
            <w:noWrap w:val="0"/>
            <w:vAlign w:val="center"/>
          </w:tcPr>
          <w:p w14:paraId="18A51B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1.管理软件实现用户管理、授权管理、财务管理、运维管理、监控管理、经营决管理等面向业务管理的角色化经营管理；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2.视窗角色化：面向业务管理设计不同的用户操作视窗，实现角色化的管理操作，提高工作效率和用户体验；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3.组网扁平化：通过IP化标准组网，实现端到端互联互通、灵活组网；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4.模式情景化：根据不同行业应用场景内置通行规则、管理规则、经营规则、情景语音，个性化配置；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5.功能组件化：可独立灵活布署、定制、应用复用性高、稳定性强；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6.应用Web化：管理中心采用浏览器/服务器架构，中心部署，多点应用；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7.控制远程化：通过远程在线升级、系统运维、信息发布、业务托管、集中监控，提升管理效能；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8.服务智能化：从智能托管、移动应用、智能运维、VOIP对讲、人机交互、一键链云、智能交付等全方面实现智能化服务；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9.数据价值化：通过通行记录、用户信息、行为感知、设备状态等关键业务数据指标挖掘以及价值转化，使其价值形象化、直观化、具体化；为管理层提供“One-Stop”一站式决策支持的管理信息系统；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10.接口开放化： 开放的接口，提供智慧环境SaaS 服务能力供第三方调用，丰富合作生态链；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11.▲需提供管理软件的著作权证明文件；</w:t>
            </w:r>
          </w:p>
        </w:tc>
        <w:tc>
          <w:tcPr>
            <w:tcW w:w="696" w:type="dxa"/>
            <w:noWrap/>
            <w:vAlign w:val="center"/>
          </w:tcPr>
          <w:p w14:paraId="7AF24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74F70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3" w:type="dxa"/>
            <w:noWrap w:val="0"/>
            <w:vAlign w:val="center"/>
          </w:tcPr>
          <w:p w14:paraId="10B23164">
            <w:pPr>
              <w:jc w:val="left"/>
              <w:rPr>
                <w:rFonts w:hint="eastAsia" w:ascii="宋体" w:hAnsi="宋体" w:eastAsia="宋体" w:cs="宋体"/>
                <w:i w:val="0"/>
                <w:iCs w:val="0"/>
                <w:color w:val="000000"/>
                <w:sz w:val="18"/>
                <w:szCs w:val="18"/>
                <w:u w:val="none"/>
              </w:rPr>
            </w:pPr>
          </w:p>
        </w:tc>
      </w:tr>
      <w:tr w14:paraId="59887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48" w:type="dxa"/>
            <w:noWrap/>
            <w:vAlign w:val="center"/>
          </w:tcPr>
          <w:p w14:paraId="086464B8">
            <w:pPr>
              <w:keepNext w:val="0"/>
              <w:keepLines w:val="0"/>
              <w:widowControl/>
              <w:suppressLineNumbers w:val="0"/>
              <w:jc w:val="center"/>
              <w:textAlignment w:val="center"/>
              <w:rPr>
                <w:rFonts w:hint="default" w:ascii="宋体" w:hAnsi="宋体" w:cs="宋体"/>
                <w:b/>
                <w:bCs/>
                <w:i w:val="0"/>
                <w:iCs w:val="0"/>
                <w:color w:val="000000"/>
                <w:kern w:val="0"/>
                <w:sz w:val="18"/>
                <w:szCs w:val="18"/>
                <w:u w:val="none"/>
                <w:lang w:val="en-US" w:eastAsia="zh-CN" w:bidi="ar"/>
              </w:rPr>
            </w:pPr>
            <w:r>
              <w:rPr>
                <w:rFonts w:hint="eastAsia" w:ascii="宋体" w:hAnsi="宋体" w:cs="宋体"/>
                <w:b/>
                <w:bCs/>
                <w:i w:val="0"/>
                <w:iCs w:val="0"/>
                <w:color w:val="000000"/>
                <w:kern w:val="0"/>
                <w:sz w:val="18"/>
                <w:szCs w:val="18"/>
                <w:u w:val="none"/>
                <w:lang w:val="en-US" w:eastAsia="zh-CN" w:bidi="ar"/>
              </w:rPr>
              <w:t>6</w:t>
            </w:r>
          </w:p>
        </w:tc>
        <w:tc>
          <w:tcPr>
            <w:tcW w:w="1048" w:type="dxa"/>
            <w:noWrap w:val="0"/>
            <w:vAlign w:val="center"/>
          </w:tcPr>
          <w:p w14:paraId="34E6A4FD">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云坐席服务</w:t>
            </w:r>
          </w:p>
        </w:tc>
        <w:tc>
          <w:tcPr>
            <w:tcW w:w="6224" w:type="dxa"/>
            <w:noWrap w:val="0"/>
            <w:vAlign w:val="center"/>
          </w:tcPr>
          <w:p w14:paraId="084EB11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系统可采用SAAS化部署模式。（响应人自行考虑配套服务器资源）智慧停车坐席云平台功能模块应包括但不局限于：系统管理功能、车场管理功能、车场经营报表查看功能、月卡管理功能、车场基础管理功能、数据分析功能、财务结算管理功能、黑白名单管理功能、业务审批功能、运维管理功能、预警提醒、智能稽核、优惠打折、无人值守基础服务、移动岗亭、云坐席、AI智能纠错服务、车位运营服务、营销推广服务、异常事件预警服务、异常记录财务稽核服务、事件管理、实时监控、运维管理、充电运营管控等。</w:t>
            </w:r>
          </w:p>
          <w:p w14:paraId="577D5DE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color w:val="000000"/>
                <w:kern w:val="0"/>
                <w:sz w:val="18"/>
                <w:szCs w:val="18"/>
                <w:u w:val="none"/>
                <w:lang w:bidi="ar"/>
              </w:rPr>
              <w:t>实时事件（投标人需提供第三方机构出具的软件测试报告对需求功能进行佐证，并加盖公章）</w:t>
            </w:r>
          </w:p>
          <w:p w14:paraId="64DCB41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1)视频对讲可与控制机设备进行视频通话。</w:t>
            </w:r>
          </w:p>
          <w:p w14:paraId="2FAAEFD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2)环境监控显示场内监控画面信息。</w:t>
            </w:r>
          </w:p>
          <w:p w14:paraId="6798C31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3)图片抓拍显示抓拍图片信息。</w:t>
            </w:r>
          </w:p>
          <w:p w14:paraId="4093E5F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4)车牌纠正对未识别、识别错误的车牌信息进行补录或修改</w:t>
            </w:r>
          </w:p>
          <w:p w14:paraId="1C7C76E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5)搜索场内车对纠正后的车牌信息匹配场内车辆。</w:t>
            </w:r>
          </w:p>
          <w:p w14:paraId="2FADBCE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6)远程关闸控制设备进行关闸。</w:t>
            </w:r>
          </w:p>
          <w:p w14:paraId="645EC00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7)特殊要求显示车场特殊要求信息。</w:t>
            </w:r>
          </w:p>
          <w:p w14:paraId="6A4AD55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8)剩余车位显示剩余车位数。</w:t>
            </w:r>
          </w:p>
          <w:p w14:paraId="1FFC0B1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9)等待时长显示当前事件触发后的等待时长。</w:t>
            </w:r>
          </w:p>
          <w:p w14:paraId="0ECFF68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10)应急人员显示应急人员信息。</w:t>
            </w:r>
          </w:p>
          <w:p w14:paraId="0CDDB21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11)收费标准查看显示车场收费标准。</w:t>
            </w:r>
          </w:p>
          <w:p w14:paraId="0A5FC99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12)设备交互状态显示设别交互状态信息。</w:t>
            </w:r>
          </w:p>
          <w:p w14:paraId="2B8D348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13)车辆详情可查看车辆基本信息和通行记录信息。</w:t>
            </w:r>
          </w:p>
          <w:p w14:paraId="4CA4874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14)领票指引发送领票指引信息。</w:t>
            </w:r>
          </w:p>
          <w:p w14:paraId="7AEBAAB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15)支付订单发送支付订单信息。</w:t>
            </w:r>
          </w:p>
          <w:p w14:paraId="6D4665B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16)下发二维码发送二维码到前端设备。</w:t>
            </w:r>
          </w:p>
          <w:p w14:paraId="3B03BC3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17)通道挂起可将通道进行挂起操作。</w:t>
            </w:r>
          </w:p>
          <w:p w14:paraId="1EEE971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18)呼叫巡逻岗可进行呼叫巡逻岗操作。</w:t>
            </w:r>
          </w:p>
          <w:p w14:paraId="4B4A4EB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19)查看技术人员显示技术人员信息。</w:t>
            </w:r>
          </w:p>
          <w:p w14:paraId="5B72A20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20)一键上报可对当前事件进行一键上报操作。</w:t>
            </w:r>
          </w:p>
          <w:p w14:paraId="395C44FF">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21)生成工单可对当前事件进行生成工单操作。</w:t>
            </w:r>
          </w:p>
          <w:p w14:paraId="22C6B70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22)对讲抓拍可进行对讲抓拍操作。</w:t>
            </w:r>
          </w:p>
          <w:p w14:paraId="6CA755F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23)支付详情可按项目、车牌号查询支付详情。</w:t>
            </w:r>
          </w:p>
          <w:p w14:paraId="1D7AB3C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24)远程开闸控制设备进行开闸。</w:t>
            </w:r>
          </w:p>
          <w:p w14:paraId="03CB74C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②实时监控</w:t>
            </w:r>
          </w:p>
          <w:p w14:paraId="47D6B32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1)项目监控对离线项目进行监控与预警。</w:t>
            </w:r>
          </w:p>
          <w:p w14:paraId="3D0E6B6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2)设备监控对离线设备进行监控与预警。</w:t>
            </w:r>
          </w:p>
          <w:p w14:paraId="69D79064">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3)事件监控显示事件监控信息。</w:t>
            </w:r>
          </w:p>
          <w:p w14:paraId="163648E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4)车牌识别预警显示通道车牌识别预警信息。</w:t>
            </w:r>
          </w:p>
          <w:p w14:paraId="3000017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5)超时事件对超时事件进行实时监控,可转化为任务事件。</w:t>
            </w:r>
          </w:p>
          <w:p w14:paraId="57BA0BB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③</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color w:val="000000"/>
                <w:kern w:val="0"/>
                <w:sz w:val="18"/>
                <w:szCs w:val="18"/>
                <w:u w:val="none"/>
                <w:lang w:bidi="ar"/>
              </w:rPr>
              <w:t>托管中心（投标人需提供第三方机构出具的软件测试报告复印件对需求功能进行佐证，并加盖公章）</w:t>
            </w:r>
          </w:p>
          <w:p w14:paraId="2CDEE8E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1)云托管总览显示坐席事件统计信息、坐席事件趋势和未完成事件列表。</w:t>
            </w:r>
          </w:p>
          <w:p w14:paraId="54C4959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2)实时事件池显示待处理事件信息,包括车牌图片、所属项目、事件类型、上报时间、等待时长。</w:t>
            </w:r>
          </w:p>
          <w:p w14:paraId="693373E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3)集中监控视频显示现场监控视频信息。</w:t>
            </w:r>
          </w:p>
          <w:p w14:paraId="5755761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4)坐席人员状态显示坐席人员状态信息和处理事件数量信息。</w:t>
            </w:r>
          </w:p>
          <w:p w14:paraId="68D3B7D8">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5)坐席在线记录显示坐席客服在线记录信息。</w:t>
            </w:r>
          </w:p>
          <w:p w14:paraId="3BF2FB2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6)重点项目监控显示重点项目监控信息。</w:t>
            </w:r>
          </w:p>
          <w:p w14:paraId="008D493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7)实时事件监控显示实时处理的视频监控事件,包括视频画面、出入场图片、项目名称、事件原因、等待时长信息。</w:t>
            </w:r>
          </w:p>
          <w:p w14:paraId="52CA9FB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8)业务数据监控显示云托管的业务数据信息,包括停车支付、托管车道数、城市排名、托管中心排名信息。</w:t>
            </w:r>
          </w:p>
          <w:p w14:paraId="2035100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④运维管理</w:t>
            </w:r>
          </w:p>
          <w:p w14:paraId="5A11FFD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1)项目状态监控显示未处理、处理中的离线项目信息。</w:t>
            </w:r>
          </w:p>
          <w:p w14:paraId="7CDCAF6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2)运维监控查询显示项目、设备离线记录，可以通过项目编号、项目名称、监控类型进行查询。</w:t>
            </w:r>
          </w:p>
          <w:p w14:paraId="723B87DD">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3)记录一键上报显示一键上报记录信息，可进行查询和查看详情操作。</w:t>
            </w:r>
          </w:p>
          <w:p w14:paraId="44EBE6E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4)处理通道应急显示通道挂起记录信息，可进行查询和移除操作。</w:t>
            </w:r>
          </w:p>
          <w:p w14:paraId="782AAEF6">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5)未托管通道显示未托管通道信息，可进行查询和移除操作。</w:t>
            </w:r>
          </w:p>
          <w:p w14:paraId="2D16B6C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6)查询道闸重启显示道闸重启记录信息，可进行查询操作。</w:t>
            </w:r>
          </w:p>
          <w:p w14:paraId="2418F35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⑤工作台</w:t>
            </w:r>
          </w:p>
          <w:p w14:paraId="2D75909E">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1)我的工作息显示已处理的事件列表、事件数量、平均处理时长、各时段处理的趋势、近一个月处理的趋势、各个事件类型的占比信</w:t>
            </w:r>
          </w:p>
          <w:p w14:paraId="4AB3D59A">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⑥坐席事件管理</w:t>
            </w:r>
          </w:p>
          <w:p w14:paraId="6736E18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1)坐席事件查询可按事件类型、关键词、处理时间查询坐席事件。</w:t>
            </w:r>
          </w:p>
          <w:p w14:paraId="7A5D060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2)超时事件查询可查询超时事件信息。</w:t>
            </w:r>
          </w:p>
          <w:p w14:paraId="05323AC3">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3)车牌纠正显示查询车牌纠正记录，可进行查询操作。</w:t>
            </w:r>
          </w:p>
          <w:p w14:paraId="4FA49E3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⑦</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color w:val="000000"/>
                <w:kern w:val="0"/>
                <w:sz w:val="18"/>
                <w:szCs w:val="18"/>
                <w:u w:val="none"/>
                <w:lang w:bidi="ar"/>
              </w:rPr>
              <w:t>欠费管理（投标人需提供第三方机构出具的软件测试报告复印件对需求功能进行佐证，并加盖公章）</w:t>
            </w:r>
          </w:p>
          <w:p w14:paraId="693C6061">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1)欠费记录查询可按项目名称、车牌、手机号查询欠费记录信息。</w:t>
            </w:r>
          </w:p>
          <w:p w14:paraId="5FDDEF8C">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2)欠费统计报表显示欠费记录报表信息。</w:t>
            </w:r>
          </w:p>
          <w:p w14:paraId="39074009">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3)紧急放行管理显示紧急放行记录信息，可进行查询操作。</w:t>
            </w:r>
          </w:p>
          <w:p w14:paraId="6B12A805">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⑧免费管理</w:t>
            </w:r>
          </w:p>
          <w:p w14:paraId="4DC76287">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1)免费放行显示免费放行记录信息，可进行查询操作。</w:t>
            </w:r>
          </w:p>
          <w:p w14:paraId="2EDACD60">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2)免费统计报表显示免费放行统计报表信息。</w:t>
            </w:r>
          </w:p>
          <w:p w14:paraId="31985B52">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⑨巡逻岗管理</w:t>
            </w:r>
          </w:p>
          <w:p w14:paraId="54A16E8B">
            <w:pPr>
              <w:keepNext w:val="0"/>
              <w:keepLines w:val="0"/>
              <w:widowControl/>
              <w:suppressLineNumbers w:val="0"/>
              <w:jc w:val="left"/>
              <w:textAlignment w:val="center"/>
              <w:rPr>
                <w:rFonts w:hint="eastAsia" w:ascii="宋体" w:hAnsi="宋体" w:cs="宋体"/>
                <w:color w:val="000000"/>
                <w:kern w:val="0"/>
                <w:sz w:val="18"/>
                <w:szCs w:val="18"/>
                <w:u w:val="none"/>
                <w:lang w:bidi="ar"/>
              </w:rPr>
            </w:pPr>
            <w:r>
              <w:rPr>
                <w:rFonts w:hint="eastAsia" w:ascii="宋体" w:hAnsi="宋体" w:cs="宋体"/>
                <w:color w:val="000000"/>
                <w:kern w:val="0"/>
                <w:sz w:val="18"/>
                <w:szCs w:val="18"/>
                <w:u w:val="none"/>
                <w:lang w:bidi="ar"/>
              </w:rPr>
              <w:t>1)巡逻岗收费查询显示巡逻岗收费记录，可进行查询操作。</w:t>
            </w:r>
          </w:p>
          <w:p w14:paraId="1AF0A7B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color w:val="000000"/>
                <w:kern w:val="0"/>
                <w:sz w:val="18"/>
                <w:szCs w:val="18"/>
                <w:u w:val="none"/>
                <w:lang w:bidi="ar"/>
              </w:rPr>
              <w:t>2)巡逻岗处理记录显示巡逻岗事件处理记录，可进行查询操作。</w:t>
            </w:r>
          </w:p>
        </w:tc>
        <w:tc>
          <w:tcPr>
            <w:tcW w:w="696" w:type="dxa"/>
            <w:noWrap/>
            <w:vAlign w:val="center"/>
          </w:tcPr>
          <w:p w14:paraId="621F3248">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p>
        </w:tc>
        <w:tc>
          <w:tcPr>
            <w:tcW w:w="661" w:type="dxa"/>
            <w:noWrap/>
            <w:vAlign w:val="center"/>
          </w:tcPr>
          <w:p w14:paraId="4F58A97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年</w:t>
            </w:r>
          </w:p>
        </w:tc>
        <w:tc>
          <w:tcPr>
            <w:tcW w:w="853" w:type="dxa"/>
            <w:noWrap w:val="0"/>
            <w:vAlign w:val="center"/>
          </w:tcPr>
          <w:p w14:paraId="5BC27BE9">
            <w:pPr>
              <w:jc w:val="left"/>
              <w:rPr>
                <w:rFonts w:hint="eastAsia" w:ascii="宋体" w:hAnsi="宋体" w:eastAsia="宋体" w:cs="宋体"/>
                <w:i w:val="0"/>
                <w:iCs w:val="0"/>
                <w:color w:val="000000"/>
                <w:sz w:val="18"/>
                <w:szCs w:val="18"/>
                <w:u w:val="none"/>
              </w:rPr>
            </w:pPr>
          </w:p>
        </w:tc>
      </w:tr>
      <w:tr w14:paraId="5B721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noWrap/>
            <w:vAlign w:val="center"/>
          </w:tcPr>
          <w:p w14:paraId="1E996C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7</w:t>
            </w:r>
          </w:p>
        </w:tc>
        <w:tc>
          <w:tcPr>
            <w:tcW w:w="1048" w:type="dxa"/>
            <w:noWrap/>
            <w:vAlign w:val="center"/>
          </w:tcPr>
          <w:p w14:paraId="056DEB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交换机</w:t>
            </w:r>
          </w:p>
        </w:tc>
        <w:tc>
          <w:tcPr>
            <w:tcW w:w="6224" w:type="dxa"/>
            <w:noWrap w:val="0"/>
            <w:vAlign w:val="center"/>
          </w:tcPr>
          <w:p w14:paraId="3D9D6F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 固定端口：8个10/100/1000M电口，2个千兆SFP光口，1个Console口，管理端口1个Console口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交换容量：≥128Gbps，包转发率15Mpps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.工作温度：—20~70°C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 输入电压：AC：110～240V/50～60Hz，整机功耗：&lt;10W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 MAC地址：支持16K MAC地址表，自动更新，双向学习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 VLAN配置：支持基于端口VLAN；最多支持4096个VLAN；支持802.1Q标准 VLAN；</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 端口汇聚：支持8组汇聚，每组最多支持8个端口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 端口镜像：支持收发双向的端口镜像；</w:t>
            </w:r>
          </w:p>
        </w:tc>
        <w:tc>
          <w:tcPr>
            <w:tcW w:w="696" w:type="dxa"/>
            <w:noWrap/>
            <w:vAlign w:val="center"/>
          </w:tcPr>
          <w:p w14:paraId="27B616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55316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53" w:type="dxa"/>
            <w:noWrap w:val="0"/>
            <w:vAlign w:val="center"/>
          </w:tcPr>
          <w:p w14:paraId="51A24BAA">
            <w:pPr>
              <w:rPr>
                <w:rFonts w:hint="eastAsia" w:ascii="宋体" w:hAnsi="宋体" w:eastAsia="宋体" w:cs="宋体"/>
                <w:i w:val="0"/>
                <w:iCs w:val="0"/>
                <w:color w:val="000000"/>
                <w:sz w:val="18"/>
                <w:szCs w:val="18"/>
                <w:u w:val="none"/>
              </w:rPr>
            </w:pPr>
          </w:p>
        </w:tc>
      </w:tr>
      <w:tr w14:paraId="5008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noWrap/>
            <w:vAlign w:val="center"/>
          </w:tcPr>
          <w:p w14:paraId="04A4001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8</w:t>
            </w:r>
          </w:p>
        </w:tc>
        <w:tc>
          <w:tcPr>
            <w:tcW w:w="1048" w:type="dxa"/>
            <w:noWrap/>
            <w:vAlign w:val="center"/>
          </w:tcPr>
          <w:p w14:paraId="56BD99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4G</w:t>
            </w:r>
            <w:r>
              <w:rPr>
                <w:rFonts w:hint="eastAsia" w:ascii="宋体" w:hAnsi="宋体" w:eastAsia="宋体" w:cs="宋体"/>
                <w:i w:val="0"/>
                <w:iCs w:val="0"/>
                <w:color w:val="000000"/>
                <w:kern w:val="0"/>
                <w:sz w:val="18"/>
                <w:szCs w:val="18"/>
                <w:u w:val="none"/>
                <w:lang w:val="en-US" w:eastAsia="zh-CN" w:bidi="ar"/>
              </w:rPr>
              <w:t>路由器</w:t>
            </w:r>
          </w:p>
        </w:tc>
        <w:tc>
          <w:tcPr>
            <w:tcW w:w="6224" w:type="dxa"/>
            <w:noWrap w:val="0"/>
            <w:vAlign w:val="center"/>
          </w:tcPr>
          <w:p w14:paraId="365318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1.网络标准</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：支持IEEE 802.11ax、IEEE 802.11ac、IEEE 802.11n、IEEE 802.11g、IEEE 802.11b等标准。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传输速率</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：2.4GHz频段的传输速率为574Mbps，5GHz频段的传输速率为2402Mbps，双频并发时最大传输速率为2976Mbps。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网络接口</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：4个10/100/1000M WAN/LAN自适应RJ45口，支持自动翻转（Auto MDI/MDIX）。</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功能特性</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：支持OFDMA、MESH组网、内置防火墙、智能IP冲突检测、TWT技术、BSS着色技术、WPA3无线加密协议等。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5.支持4G功能</w:t>
            </w:r>
          </w:p>
        </w:tc>
        <w:tc>
          <w:tcPr>
            <w:tcW w:w="696" w:type="dxa"/>
            <w:noWrap/>
            <w:vAlign w:val="center"/>
          </w:tcPr>
          <w:p w14:paraId="37CCA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073A1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53" w:type="dxa"/>
            <w:noWrap w:val="0"/>
            <w:vAlign w:val="center"/>
          </w:tcPr>
          <w:p w14:paraId="5B448811">
            <w:pPr>
              <w:rPr>
                <w:rFonts w:hint="eastAsia" w:ascii="宋体" w:hAnsi="宋体" w:eastAsia="宋体" w:cs="宋体"/>
                <w:i w:val="0"/>
                <w:iCs w:val="0"/>
                <w:color w:val="000000"/>
                <w:sz w:val="18"/>
                <w:szCs w:val="18"/>
                <w:u w:val="none"/>
              </w:rPr>
            </w:pPr>
          </w:p>
        </w:tc>
      </w:tr>
      <w:tr w14:paraId="2656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8" w:type="dxa"/>
            <w:noWrap/>
            <w:vAlign w:val="center"/>
          </w:tcPr>
          <w:p w14:paraId="1289C96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9</w:t>
            </w:r>
          </w:p>
        </w:tc>
        <w:tc>
          <w:tcPr>
            <w:tcW w:w="1048" w:type="dxa"/>
            <w:noWrap/>
            <w:vAlign w:val="center"/>
          </w:tcPr>
          <w:p w14:paraId="4270F1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电控箱</w:t>
            </w:r>
          </w:p>
        </w:tc>
        <w:tc>
          <w:tcPr>
            <w:tcW w:w="6224" w:type="dxa"/>
            <w:noWrap w:val="0"/>
            <w:vAlign w:val="center"/>
          </w:tcPr>
          <w:p w14:paraId="43534C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1.电控箱含安装底板、导轨、光纤收发器支架，漏电开关1个，空气开关3个（最多可装5个）</w:t>
            </w:r>
          </w:p>
        </w:tc>
        <w:tc>
          <w:tcPr>
            <w:tcW w:w="696" w:type="dxa"/>
            <w:noWrap/>
            <w:vAlign w:val="center"/>
          </w:tcPr>
          <w:p w14:paraId="72775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457E9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53" w:type="dxa"/>
            <w:noWrap w:val="0"/>
            <w:vAlign w:val="center"/>
          </w:tcPr>
          <w:p w14:paraId="560B48D9">
            <w:pPr>
              <w:rPr>
                <w:rFonts w:hint="eastAsia" w:ascii="宋体" w:hAnsi="宋体" w:eastAsia="宋体" w:cs="宋体"/>
                <w:i w:val="0"/>
                <w:iCs w:val="0"/>
                <w:color w:val="000000"/>
                <w:sz w:val="18"/>
                <w:szCs w:val="18"/>
                <w:u w:val="none"/>
              </w:rPr>
            </w:pPr>
          </w:p>
        </w:tc>
      </w:tr>
      <w:tr w14:paraId="14B5A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noWrap/>
            <w:vAlign w:val="center"/>
          </w:tcPr>
          <w:p w14:paraId="2C0B3FB5">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val="en-US" w:eastAsia="zh-CN"/>
              </w:rPr>
              <w:t>10</w:t>
            </w:r>
          </w:p>
        </w:tc>
        <w:tc>
          <w:tcPr>
            <w:tcW w:w="1048" w:type="dxa"/>
            <w:noWrap w:val="0"/>
            <w:vAlign w:val="center"/>
          </w:tcPr>
          <w:p w14:paraId="011BD6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电源插座</w:t>
            </w:r>
          </w:p>
        </w:tc>
        <w:tc>
          <w:tcPr>
            <w:tcW w:w="6224" w:type="dxa"/>
            <w:noWrap w:val="0"/>
            <w:vAlign w:val="center"/>
          </w:tcPr>
          <w:p w14:paraId="253A09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1.插孔电流：10A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2.插孔数量：8孔</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3.开关方式：总控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4.额定功率：2500W</w:t>
            </w:r>
          </w:p>
        </w:tc>
        <w:tc>
          <w:tcPr>
            <w:tcW w:w="696" w:type="dxa"/>
            <w:noWrap/>
            <w:vAlign w:val="center"/>
          </w:tcPr>
          <w:p w14:paraId="074BC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187171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53" w:type="dxa"/>
            <w:noWrap/>
            <w:vAlign w:val="center"/>
          </w:tcPr>
          <w:p w14:paraId="1700663C">
            <w:pPr>
              <w:rPr>
                <w:rFonts w:hint="eastAsia" w:ascii="宋体" w:hAnsi="宋体" w:eastAsia="宋体" w:cs="宋体"/>
                <w:i w:val="0"/>
                <w:iCs w:val="0"/>
                <w:color w:val="000000"/>
                <w:sz w:val="18"/>
                <w:szCs w:val="18"/>
                <w:u w:val="none"/>
              </w:rPr>
            </w:pPr>
          </w:p>
        </w:tc>
      </w:tr>
      <w:tr w14:paraId="6E668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noWrap/>
            <w:vAlign w:val="center"/>
          </w:tcPr>
          <w:p w14:paraId="3E188E80">
            <w:pPr>
              <w:keepNext w:val="0"/>
              <w:keepLines w:val="0"/>
              <w:widowControl/>
              <w:suppressLineNumbers w:val="0"/>
              <w:jc w:val="center"/>
              <w:textAlignment w:val="center"/>
              <w:rPr>
                <w:rFonts w:hint="default" w:ascii="宋体" w:hAnsi="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val="en-US" w:eastAsia="zh-CN"/>
              </w:rPr>
              <w:t>11</w:t>
            </w:r>
          </w:p>
        </w:tc>
        <w:tc>
          <w:tcPr>
            <w:tcW w:w="1048" w:type="dxa"/>
            <w:noWrap w:val="0"/>
            <w:vAlign w:val="center"/>
          </w:tcPr>
          <w:p w14:paraId="33CACC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红绿灯</w:t>
            </w:r>
          </w:p>
        </w:tc>
        <w:tc>
          <w:tcPr>
            <w:tcW w:w="6224" w:type="dxa"/>
            <w:noWrap w:val="0"/>
            <w:vAlign w:val="center"/>
          </w:tcPr>
          <w:p w14:paraId="64AFA992">
            <w:pPr>
              <w:keepNext w:val="0"/>
              <w:keepLines w:val="0"/>
              <w:widowControl/>
              <w:suppressLineNumbers w:val="0"/>
              <w:jc w:val="left"/>
              <w:textAlignment w:val="center"/>
              <w:rPr>
                <w:rFonts w:hint="eastAsia" w:ascii="宋体" w:hAnsi="宋体" w:eastAsia="宋体" w:cs="宋体"/>
                <w:b w:val="0"/>
                <w:bCs w:val="0"/>
                <w:color w:val="000000"/>
                <w:kern w:val="0"/>
                <w:sz w:val="18"/>
                <w:szCs w:val="18"/>
                <w:u w:val="none"/>
                <w:lang w:val="en-US" w:eastAsia="zh-CN" w:bidi="ar"/>
              </w:rPr>
            </w:pPr>
            <w:r>
              <w:rPr>
                <w:rFonts w:hint="eastAsia" w:ascii="宋体" w:hAnsi="宋体" w:eastAsia="宋体" w:cs="宋体"/>
                <w:b w:val="0"/>
                <w:bCs w:val="0"/>
                <w:color w:val="000000"/>
                <w:kern w:val="0"/>
                <w:sz w:val="18"/>
                <w:szCs w:val="18"/>
                <w:u w:val="none"/>
                <w:lang w:val="en-US" w:eastAsia="zh-CN" w:bidi="ar"/>
              </w:rPr>
              <w:t>1.工作电压：通常为220V±10%</w:t>
            </w:r>
          </w:p>
          <w:p w14:paraId="03FDAE2C">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b w:val="0"/>
                <w:bCs w:val="0"/>
                <w:color w:val="000000"/>
                <w:kern w:val="0"/>
                <w:sz w:val="18"/>
                <w:szCs w:val="18"/>
                <w:u w:val="none"/>
                <w:lang w:val="en-US" w:eastAsia="zh-CN" w:bidi="ar"/>
              </w:rPr>
              <w:t xml:space="preserve">2.功率：≤20VA（LED信号灯）或 ≤5W（机动车信号灯） </w:t>
            </w:r>
          </w:p>
          <w:p w14:paraId="518960F9">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3.</w:t>
            </w:r>
            <w:r>
              <w:rPr>
                <w:rFonts w:hint="eastAsia" w:ascii="宋体" w:hAnsi="宋体" w:eastAsia="宋体" w:cs="宋体"/>
                <w:b w:val="0"/>
                <w:bCs w:val="0"/>
                <w:color w:val="000000"/>
                <w:kern w:val="0"/>
                <w:sz w:val="18"/>
                <w:szCs w:val="18"/>
                <w:u w:val="none"/>
                <w:lang w:val="en-US" w:eastAsia="zh-CN" w:bidi="ar"/>
              </w:rPr>
              <w:t xml:space="preserve">光源寿命：≥10万小时 </w:t>
            </w:r>
          </w:p>
          <w:p w14:paraId="66CD4CBE">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4.</w:t>
            </w:r>
            <w:r>
              <w:rPr>
                <w:rFonts w:hint="eastAsia" w:ascii="宋体" w:hAnsi="宋体" w:eastAsia="宋体" w:cs="宋体"/>
                <w:b w:val="0"/>
                <w:bCs w:val="0"/>
                <w:color w:val="000000"/>
                <w:kern w:val="0"/>
                <w:sz w:val="18"/>
                <w:szCs w:val="18"/>
                <w:u w:val="none"/>
                <w:lang w:val="en-US" w:eastAsia="zh-CN" w:bidi="ar"/>
              </w:rPr>
              <w:t xml:space="preserve">防护等级：IP5X防尘、IPX3防 水 </w:t>
            </w:r>
          </w:p>
          <w:p w14:paraId="15A1BFDA">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5.</w:t>
            </w:r>
            <w:r>
              <w:rPr>
                <w:rFonts w:hint="eastAsia" w:ascii="宋体" w:hAnsi="宋体" w:eastAsia="宋体" w:cs="宋体"/>
                <w:b w:val="0"/>
                <w:bCs w:val="0"/>
                <w:color w:val="000000"/>
                <w:kern w:val="0"/>
                <w:sz w:val="18"/>
                <w:szCs w:val="18"/>
                <w:u w:val="none"/>
                <w:lang w:val="en-US" w:eastAsia="zh-CN" w:bidi="ar"/>
              </w:rPr>
              <w:t xml:space="preserve">工作温度：-40℃～80℃ </w:t>
            </w:r>
          </w:p>
          <w:p w14:paraId="477823B6">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6.</w:t>
            </w:r>
            <w:r>
              <w:rPr>
                <w:rFonts w:hint="eastAsia" w:ascii="宋体" w:hAnsi="宋体" w:eastAsia="宋体" w:cs="宋体"/>
                <w:b w:val="0"/>
                <w:bCs w:val="0"/>
                <w:color w:val="000000"/>
                <w:kern w:val="0"/>
                <w:sz w:val="18"/>
                <w:szCs w:val="18"/>
                <w:u w:val="none"/>
                <w:lang w:val="en-US" w:eastAsia="zh-CN" w:bidi="ar"/>
              </w:rPr>
              <w:t xml:space="preserve">发光强度：红色≥400cd（角度 ≥30°），绿色≥8000cd </w:t>
            </w:r>
          </w:p>
          <w:p w14:paraId="18EF5A32">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7.</w:t>
            </w:r>
            <w:r>
              <w:rPr>
                <w:rFonts w:hint="eastAsia" w:ascii="宋体" w:hAnsi="宋体" w:eastAsia="宋体" w:cs="宋体"/>
                <w:b w:val="0"/>
                <w:bCs w:val="0"/>
                <w:color w:val="000000"/>
                <w:kern w:val="0"/>
                <w:sz w:val="18"/>
                <w:szCs w:val="18"/>
                <w:u w:val="none"/>
                <w:lang w:val="en-US" w:eastAsia="zh-CN" w:bidi="ar"/>
              </w:rPr>
              <w:t xml:space="preserve">光源类型：LED（红色/绿色） </w:t>
            </w:r>
          </w:p>
          <w:p w14:paraId="48E7507D">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8.</w:t>
            </w:r>
            <w:r>
              <w:rPr>
                <w:rFonts w:hint="eastAsia" w:ascii="宋体" w:hAnsi="宋体" w:eastAsia="宋体" w:cs="宋体"/>
                <w:b w:val="0"/>
                <w:bCs w:val="0"/>
                <w:color w:val="000000"/>
                <w:kern w:val="0"/>
                <w:sz w:val="18"/>
                <w:szCs w:val="18"/>
                <w:u w:val="none"/>
                <w:lang w:val="en-US" w:eastAsia="zh-CN" w:bidi="ar"/>
              </w:rPr>
              <w:t xml:space="preserve">发光角度：≥30° </w:t>
            </w:r>
          </w:p>
          <w:p w14:paraId="49332E1C">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9.</w:t>
            </w:r>
            <w:r>
              <w:rPr>
                <w:rFonts w:hint="eastAsia" w:ascii="宋体" w:hAnsi="宋体" w:eastAsia="宋体" w:cs="宋体"/>
                <w:b w:val="0"/>
                <w:bCs w:val="0"/>
                <w:color w:val="000000"/>
                <w:kern w:val="0"/>
                <w:sz w:val="18"/>
                <w:szCs w:val="18"/>
                <w:u w:val="none"/>
                <w:lang w:val="en-US" w:eastAsia="zh-CN" w:bidi="ar"/>
              </w:rPr>
              <w:t xml:space="preserve">可视距离：≥400米（十字路口信 号灯） </w:t>
            </w:r>
          </w:p>
          <w:p w14:paraId="720354C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color w:val="000000"/>
                <w:kern w:val="0"/>
                <w:sz w:val="18"/>
                <w:szCs w:val="18"/>
                <w:u w:val="none"/>
                <w:lang w:val="en-US" w:eastAsia="zh-CN" w:bidi="ar"/>
              </w:rPr>
              <w:t>10.</w:t>
            </w:r>
            <w:r>
              <w:rPr>
                <w:rFonts w:hint="eastAsia" w:ascii="宋体" w:hAnsi="宋体" w:eastAsia="宋体" w:cs="宋体"/>
                <w:b w:val="0"/>
                <w:bCs w:val="0"/>
                <w:color w:val="000000"/>
                <w:kern w:val="0"/>
                <w:sz w:val="18"/>
                <w:szCs w:val="18"/>
                <w:u w:val="none"/>
                <w:lang w:val="en-US" w:eastAsia="zh-CN" w:bidi="ar"/>
              </w:rPr>
              <w:t>材质：铝压铸或工程塑料（PC） 注塑成型</w:t>
            </w:r>
          </w:p>
        </w:tc>
        <w:tc>
          <w:tcPr>
            <w:tcW w:w="696" w:type="dxa"/>
            <w:noWrap/>
            <w:vAlign w:val="center"/>
          </w:tcPr>
          <w:p w14:paraId="4CAF17BB">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p>
        </w:tc>
        <w:tc>
          <w:tcPr>
            <w:tcW w:w="661" w:type="dxa"/>
            <w:noWrap/>
            <w:vAlign w:val="center"/>
          </w:tcPr>
          <w:p w14:paraId="2EDD4AB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个</w:t>
            </w:r>
          </w:p>
        </w:tc>
        <w:tc>
          <w:tcPr>
            <w:tcW w:w="853" w:type="dxa"/>
            <w:noWrap/>
            <w:vAlign w:val="center"/>
          </w:tcPr>
          <w:p w14:paraId="30106259">
            <w:pPr>
              <w:rPr>
                <w:rFonts w:hint="eastAsia" w:ascii="宋体" w:hAnsi="宋体" w:eastAsia="宋体" w:cs="宋体"/>
                <w:i w:val="0"/>
                <w:iCs w:val="0"/>
                <w:color w:val="000000"/>
                <w:sz w:val="18"/>
                <w:szCs w:val="18"/>
                <w:u w:val="none"/>
              </w:rPr>
            </w:pPr>
          </w:p>
        </w:tc>
      </w:tr>
      <w:tr w14:paraId="7E3F4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noWrap/>
            <w:vAlign w:val="center"/>
          </w:tcPr>
          <w:p w14:paraId="1FA9AFC3">
            <w:pPr>
              <w:keepNext w:val="0"/>
              <w:keepLines w:val="0"/>
              <w:widowControl/>
              <w:suppressLineNumbers w:val="0"/>
              <w:jc w:val="center"/>
              <w:textAlignment w:val="center"/>
              <w:rPr>
                <w:rFonts w:hint="default" w:ascii="宋体" w:hAnsi="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val="en-US" w:eastAsia="zh-CN"/>
              </w:rPr>
              <w:t>12</w:t>
            </w:r>
          </w:p>
        </w:tc>
        <w:tc>
          <w:tcPr>
            <w:tcW w:w="1048" w:type="dxa"/>
            <w:noWrap w:val="0"/>
            <w:vAlign w:val="center"/>
          </w:tcPr>
          <w:p w14:paraId="22B0F72F">
            <w:pPr>
              <w:keepNext w:val="0"/>
              <w:keepLines w:val="0"/>
              <w:widowControl/>
              <w:suppressLineNumbers w:val="0"/>
              <w:ind w:firstLine="180" w:firstLineChars="10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广角镜</w:t>
            </w:r>
          </w:p>
        </w:tc>
        <w:tc>
          <w:tcPr>
            <w:tcW w:w="6224" w:type="dxa"/>
            <w:noWrap w:val="0"/>
            <w:vAlign w:val="center"/>
          </w:tcPr>
          <w:p w14:paraId="63A0582F">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b w:val="0"/>
                <w:bCs w:val="0"/>
                <w:color w:val="000000"/>
                <w:kern w:val="0"/>
                <w:sz w:val="18"/>
                <w:szCs w:val="18"/>
                <w:u w:val="none"/>
                <w:lang w:val="en-US" w:eastAsia="zh-CN" w:bidi="ar"/>
              </w:rPr>
              <w:t xml:space="preserve">1.镜面材料：PC材质（抗撞击），镜背 材料：通常为玻璃钢或ABS工程塑料， 耐老化、耐腐蚀，使用寿命长。 </w:t>
            </w:r>
          </w:p>
          <w:p w14:paraId="3151D8FB">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2.</w:t>
            </w:r>
            <w:r>
              <w:rPr>
                <w:rFonts w:hint="eastAsia" w:ascii="宋体" w:hAnsi="宋体" w:eastAsia="宋体" w:cs="宋体"/>
                <w:b w:val="0"/>
                <w:bCs w:val="0"/>
                <w:color w:val="000000"/>
                <w:kern w:val="0"/>
                <w:sz w:val="18"/>
                <w:szCs w:val="18"/>
                <w:u w:val="none"/>
                <w:lang w:val="en-US" w:eastAsia="zh-CN" w:bidi="ar"/>
              </w:rPr>
              <w:t>尺寸规格：常见尺寸包括80cm、100cm等，结合现场安装条件确定尺寸</w:t>
            </w:r>
          </w:p>
          <w:p w14:paraId="0C43DFB1">
            <w:pPr>
              <w:keepNext w:val="0"/>
              <w:keepLines w:val="0"/>
              <w:widowControl/>
              <w:suppressLineNumbers w:val="0"/>
              <w:jc w:val="left"/>
              <w:textAlignment w:val="center"/>
              <w:rPr>
                <w:rFonts w:hint="eastAsia" w:ascii="宋体" w:hAnsi="宋体" w:eastAsia="宋体" w:cs="宋体"/>
                <w:color w:val="000000"/>
                <w:kern w:val="0"/>
                <w:sz w:val="18"/>
                <w:szCs w:val="18"/>
                <w:u w:val="none"/>
                <w:lang w:bidi="ar"/>
              </w:rPr>
            </w:pPr>
            <w:r>
              <w:rPr>
                <w:rFonts w:hint="eastAsia" w:ascii="宋体" w:hAnsi="宋体" w:eastAsia="宋体" w:cs="宋体"/>
                <w:color w:val="000000"/>
                <w:kern w:val="0"/>
                <w:sz w:val="18"/>
                <w:szCs w:val="18"/>
                <w:u w:val="none"/>
                <w:lang w:val="en-US" w:eastAsia="zh-CN" w:bidi="ar"/>
              </w:rPr>
              <w:t>3.</w:t>
            </w:r>
            <w:r>
              <w:rPr>
                <w:rFonts w:hint="eastAsia" w:ascii="宋体" w:hAnsi="宋体" w:eastAsia="宋体" w:cs="宋体"/>
                <w:b w:val="0"/>
                <w:bCs w:val="0"/>
                <w:color w:val="000000"/>
                <w:kern w:val="0"/>
                <w:sz w:val="18"/>
                <w:szCs w:val="18"/>
                <w:u w:val="none"/>
                <w:lang w:val="en-US" w:eastAsia="zh-CN" w:bidi="ar"/>
              </w:rPr>
              <w:t xml:space="preserve">颜色：橘红色或橙色（高可视性设计）。 </w:t>
            </w:r>
          </w:p>
          <w:p w14:paraId="74D9BC6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color w:val="000000"/>
                <w:kern w:val="0"/>
                <w:sz w:val="18"/>
                <w:szCs w:val="18"/>
                <w:u w:val="none"/>
                <w:lang w:val="en-US" w:eastAsia="zh-CN" w:bidi="ar"/>
              </w:rPr>
              <w:t>4.</w:t>
            </w:r>
            <w:r>
              <w:rPr>
                <w:rFonts w:hint="eastAsia" w:ascii="宋体" w:hAnsi="宋体" w:eastAsia="宋体" w:cs="宋体"/>
                <w:b w:val="0"/>
                <w:bCs w:val="0"/>
                <w:color w:val="000000"/>
                <w:kern w:val="0"/>
                <w:sz w:val="18"/>
                <w:szCs w:val="18"/>
                <w:u w:val="none"/>
                <w:lang w:val="en-US" w:eastAsia="zh-CN" w:bidi="ar"/>
              </w:rPr>
              <w:t>防护性能：具备防紫外线、防碎功能。</w:t>
            </w:r>
          </w:p>
        </w:tc>
        <w:tc>
          <w:tcPr>
            <w:tcW w:w="696" w:type="dxa"/>
            <w:noWrap/>
            <w:vAlign w:val="center"/>
          </w:tcPr>
          <w:p w14:paraId="72098162">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p>
        </w:tc>
        <w:tc>
          <w:tcPr>
            <w:tcW w:w="661" w:type="dxa"/>
            <w:noWrap/>
            <w:vAlign w:val="center"/>
          </w:tcPr>
          <w:p w14:paraId="6B377F3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个</w:t>
            </w:r>
          </w:p>
        </w:tc>
        <w:tc>
          <w:tcPr>
            <w:tcW w:w="853" w:type="dxa"/>
            <w:noWrap/>
            <w:vAlign w:val="center"/>
          </w:tcPr>
          <w:p w14:paraId="5411FF56">
            <w:pPr>
              <w:rPr>
                <w:rFonts w:hint="eastAsia" w:ascii="宋体" w:hAnsi="宋体" w:eastAsia="宋体" w:cs="宋体"/>
                <w:i w:val="0"/>
                <w:iCs w:val="0"/>
                <w:color w:val="000000"/>
                <w:sz w:val="18"/>
                <w:szCs w:val="18"/>
                <w:u w:val="none"/>
              </w:rPr>
            </w:pPr>
          </w:p>
        </w:tc>
      </w:tr>
      <w:tr w14:paraId="0A738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48" w:type="dxa"/>
            <w:noWrap/>
            <w:vAlign w:val="center"/>
          </w:tcPr>
          <w:p w14:paraId="7D41C578">
            <w:pPr>
              <w:keepNext w:val="0"/>
              <w:keepLines w:val="0"/>
              <w:widowControl/>
              <w:suppressLineNumbers w:val="0"/>
              <w:jc w:val="center"/>
              <w:textAlignment w:val="center"/>
              <w:rPr>
                <w:rFonts w:hint="default" w:ascii="宋体" w:hAnsi="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val="en-US" w:eastAsia="zh-CN"/>
              </w:rPr>
              <w:t>13</w:t>
            </w:r>
          </w:p>
        </w:tc>
        <w:tc>
          <w:tcPr>
            <w:tcW w:w="1048" w:type="dxa"/>
            <w:noWrap w:val="0"/>
            <w:vAlign w:val="center"/>
          </w:tcPr>
          <w:p w14:paraId="0931587E">
            <w:pPr>
              <w:keepNext w:val="0"/>
              <w:keepLines w:val="0"/>
              <w:widowControl/>
              <w:suppressLineNumbers w:val="0"/>
              <w:ind w:firstLine="0" w:firstLineChars="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LED</w:t>
            </w:r>
          </w:p>
          <w:p w14:paraId="6F16BE57">
            <w:pPr>
              <w:keepNext w:val="0"/>
              <w:keepLines w:val="0"/>
              <w:widowControl/>
              <w:suppressLineNumbers w:val="0"/>
              <w:ind w:firstLine="0" w:firstLineChars="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显示牌</w:t>
            </w:r>
          </w:p>
        </w:tc>
        <w:tc>
          <w:tcPr>
            <w:tcW w:w="6224" w:type="dxa"/>
            <w:noWrap w:val="0"/>
            <w:vAlign w:val="center"/>
          </w:tcPr>
          <w:p w14:paraId="26755548">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采用高亮度LED模组，支持数字和文字显示（如剩余车位数、满位提示等）</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支架固定，可安装在停车场入口立柱或墙面</w:t>
            </w:r>
            <w:r>
              <w:rPr>
                <w:rFonts w:hint="eastAsia" w:ascii="宋体" w:hAnsi="宋体" w:cs="宋体"/>
                <w:i w:val="0"/>
                <w:iCs w:val="0"/>
                <w:color w:val="000000"/>
                <w:kern w:val="0"/>
                <w:sz w:val="18"/>
                <w:szCs w:val="18"/>
                <w:u w:val="none"/>
                <w:lang w:val="en-US" w:eastAsia="zh-CN" w:bidi="ar"/>
              </w:rPr>
              <w:t>；</w:t>
            </w:r>
          </w:p>
          <w:p w14:paraId="7AE8E381">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2.工作温度​：-20℃~65℃；</w:t>
            </w:r>
          </w:p>
          <w:p w14:paraId="29E75085">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3.接收中央控制器的车位统计信号，实时更新显示内容；</w:t>
            </w:r>
          </w:p>
          <w:p w14:paraId="357137DE">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4.IP65或IP66（防尘防水），适用于户外恶劣环境；</w:t>
            </w:r>
          </w:p>
        </w:tc>
        <w:tc>
          <w:tcPr>
            <w:tcW w:w="696" w:type="dxa"/>
            <w:noWrap/>
            <w:vAlign w:val="center"/>
          </w:tcPr>
          <w:p w14:paraId="61FDC1DB">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p>
        </w:tc>
        <w:tc>
          <w:tcPr>
            <w:tcW w:w="661" w:type="dxa"/>
            <w:noWrap/>
            <w:vAlign w:val="center"/>
          </w:tcPr>
          <w:p w14:paraId="11E6BED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个</w:t>
            </w:r>
          </w:p>
        </w:tc>
        <w:tc>
          <w:tcPr>
            <w:tcW w:w="853" w:type="dxa"/>
            <w:noWrap/>
            <w:vAlign w:val="center"/>
          </w:tcPr>
          <w:p w14:paraId="4A85BA0A">
            <w:pPr>
              <w:rPr>
                <w:rFonts w:hint="eastAsia" w:ascii="宋体" w:hAnsi="宋体" w:eastAsia="宋体" w:cs="宋体"/>
                <w:i w:val="0"/>
                <w:iCs w:val="0"/>
                <w:color w:val="000000"/>
                <w:sz w:val="18"/>
                <w:szCs w:val="18"/>
                <w:u w:val="none"/>
              </w:rPr>
            </w:pPr>
          </w:p>
        </w:tc>
      </w:tr>
    </w:tbl>
    <w:p w14:paraId="2C56A0E8">
      <w:pPr>
        <w:spacing w:before="120" w:after="120" w:line="360" w:lineRule="auto"/>
        <w:jc w:val="left"/>
        <w:outlineLvl w:val="9"/>
        <w:rPr>
          <w:rFonts w:ascii="宋体" w:hAnsi="宋体"/>
          <w:snapToGrid w:val="0"/>
          <w:color w:val="auto"/>
          <w:sz w:val="21"/>
          <w:szCs w:val="21"/>
          <w:highlight w:val="none"/>
        </w:rPr>
      </w:pPr>
    </w:p>
    <w:p w14:paraId="6A56A164">
      <w:pPr>
        <w:widowControl/>
        <w:spacing w:line="276" w:lineRule="auto"/>
        <w:jc w:val="center"/>
        <w:rPr>
          <w:rFonts w:ascii="宋体" w:hAnsi="宋体"/>
          <w:b/>
          <w:color w:val="auto"/>
          <w:sz w:val="32"/>
          <w:szCs w:val="32"/>
          <w:highlight w:val="none"/>
        </w:rPr>
      </w:pPr>
    </w:p>
    <w:p w14:paraId="06371048">
      <w:pPr>
        <w:widowControl/>
        <w:spacing w:line="276" w:lineRule="auto"/>
        <w:jc w:val="center"/>
        <w:rPr>
          <w:rFonts w:ascii="宋体" w:hAnsi="宋体"/>
          <w:b/>
          <w:color w:val="auto"/>
          <w:sz w:val="32"/>
          <w:szCs w:val="32"/>
          <w:highlight w:val="none"/>
        </w:rPr>
      </w:pPr>
    </w:p>
    <w:p w14:paraId="297A6098">
      <w:pPr>
        <w:widowControl/>
        <w:spacing w:line="276" w:lineRule="auto"/>
        <w:jc w:val="center"/>
        <w:rPr>
          <w:rFonts w:ascii="宋体" w:hAnsi="宋体"/>
          <w:b/>
          <w:color w:val="auto"/>
          <w:sz w:val="32"/>
          <w:szCs w:val="32"/>
          <w:highlight w:val="none"/>
        </w:rPr>
      </w:pPr>
    </w:p>
    <w:p w14:paraId="2AFA9BD8">
      <w:pPr>
        <w:widowControl/>
        <w:spacing w:line="276" w:lineRule="auto"/>
        <w:jc w:val="center"/>
        <w:rPr>
          <w:rFonts w:ascii="宋体" w:hAnsi="宋体"/>
          <w:b/>
          <w:color w:val="auto"/>
          <w:sz w:val="32"/>
          <w:szCs w:val="32"/>
          <w:highlight w:val="none"/>
        </w:rPr>
      </w:pPr>
    </w:p>
    <w:p w14:paraId="5249D133">
      <w:pPr>
        <w:widowControl/>
        <w:spacing w:line="276" w:lineRule="auto"/>
        <w:jc w:val="center"/>
        <w:rPr>
          <w:rFonts w:ascii="宋体" w:hAnsi="宋体"/>
          <w:b/>
          <w:color w:val="auto"/>
          <w:sz w:val="32"/>
          <w:szCs w:val="32"/>
          <w:highlight w:val="none"/>
        </w:rPr>
      </w:pPr>
    </w:p>
    <w:p w14:paraId="57B78240">
      <w:pPr>
        <w:widowControl/>
        <w:spacing w:line="276" w:lineRule="auto"/>
        <w:jc w:val="center"/>
        <w:rPr>
          <w:rFonts w:ascii="宋体" w:hAnsi="宋体"/>
          <w:b/>
          <w:color w:val="auto"/>
          <w:sz w:val="32"/>
          <w:szCs w:val="32"/>
          <w:highlight w:val="none"/>
        </w:rPr>
      </w:pPr>
      <w:r>
        <w:rPr>
          <w:rFonts w:ascii="宋体" w:hAnsi="宋体"/>
          <w:b/>
          <w:color w:val="auto"/>
          <w:sz w:val="32"/>
          <w:szCs w:val="32"/>
          <w:highlight w:val="none"/>
        </w:rPr>
        <w:t xml:space="preserve">第三章 </w:t>
      </w:r>
      <w:r>
        <w:rPr>
          <w:rFonts w:hint="eastAsia" w:ascii="宋体" w:hAnsi="宋体"/>
          <w:b/>
          <w:color w:val="auto"/>
          <w:sz w:val="32"/>
          <w:szCs w:val="32"/>
          <w:highlight w:val="none"/>
        </w:rPr>
        <w:t>比选</w:t>
      </w:r>
      <w:bookmarkEnd w:id="34"/>
      <w:r>
        <w:rPr>
          <w:rFonts w:hint="eastAsia" w:ascii="宋体" w:hAnsi="宋体"/>
          <w:b/>
          <w:color w:val="auto"/>
          <w:sz w:val="32"/>
          <w:szCs w:val="32"/>
          <w:highlight w:val="none"/>
        </w:rPr>
        <w:t>办法</w:t>
      </w:r>
    </w:p>
    <w:p w14:paraId="1B9BD191">
      <w:pPr>
        <w:pStyle w:val="3"/>
        <w:spacing w:before="120" w:after="120" w:line="360" w:lineRule="auto"/>
        <w:jc w:val="center"/>
        <w:rPr>
          <w:highlight w:val="none"/>
        </w:rPr>
      </w:pPr>
      <w:r>
        <w:rPr>
          <w:rFonts w:hint="eastAsia" w:ascii="宋体" w:hAnsi="宋体"/>
          <w:snapToGrid w:val="0"/>
          <w:color w:val="auto"/>
          <w:sz w:val="21"/>
          <w:szCs w:val="21"/>
          <w:highlight w:val="none"/>
        </w:rPr>
        <w:t>第一步</w:t>
      </w:r>
      <w:r>
        <w:rPr>
          <w:rFonts w:ascii="宋体" w:hAnsi="宋体"/>
          <w:snapToGrid w:val="0"/>
          <w:color w:val="auto"/>
          <w:sz w:val="21"/>
          <w:szCs w:val="21"/>
          <w:highlight w:val="none"/>
        </w:rPr>
        <w:t xml:space="preserve"> </w:t>
      </w:r>
      <w:r>
        <w:rPr>
          <w:rFonts w:hint="eastAsia" w:ascii="宋体" w:hAnsi="宋体"/>
          <w:snapToGrid w:val="0"/>
          <w:color w:val="auto"/>
          <w:sz w:val="21"/>
          <w:szCs w:val="21"/>
          <w:highlight w:val="none"/>
        </w:rPr>
        <w:t>资质</w:t>
      </w:r>
      <w:r>
        <w:rPr>
          <w:rFonts w:ascii="宋体" w:hAnsi="宋体"/>
          <w:snapToGrid w:val="0"/>
          <w:color w:val="auto"/>
          <w:sz w:val="21"/>
          <w:szCs w:val="21"/>
          <w:highlight w:val="none"/>
        </w:rPr>
        <w:t>审查</w:t>
      </w:r>
    </w:p>
    <w:tbl>
      <w:tblPr>
        <w:tblStyle w:val="15"/>
        <w:tblW w:w="966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709"/>
        <w:gridCol w:w="708"/>
        <w:gridCol w:w="1416"/>
        <w:gridCol w:w="5985"/>
      </w:tblGrid>
      <w:tr w14:paraId="51E62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blHeader/>
        </w:trPr>
        <w:tc>
          <w:tcPr>
            <w:tcW w:w="1559" w:type="dxa"/>
            <w:gridSpan w:val="2"/>
            <w:vAlign w:val="center"/>
          </w:tcPr>
          <w:p w14:paraId="5A1481E5">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条款号</w:t>
            </w:r>
          </w:p>
        </w:tc>
        <w:tc>
          <w:tcPr>
            <w:tcW w:w="2124" w:type="dxa"/>
            <w:gridSpan w:val="2"/>
            <w:vAlign w:val="center"/>
          </w:tcPr>
          <w:p w14:paraId="0666E84C">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评审因素</w:t>
            </w:r>
          </w:p>
        </w:tc>
        <w:tc>
          <w:tcPr>
            <w:tcW w:w="5985" w:type="dxa"/>
            <w:vAlign w:val="center"/>
          </w:tcPr>
          <w:p w14:paraId="40E47EF4">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评审标准</w:t>
            </w:r>
          </w:p>
        </w:tc>
      </w:tr>
      <w:tr w14:paraId="64DCA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850" w:type="dxa"/>
            <w:vMerge w:val="restart"/>
            <w:vAlign w:val="center"/>
          </w:tcPr>
          <w:p w14:paraId="760BB90E">
            <w:pPr>
              <w:spacing w:line="360" w:lineRule="auto"/>
              <w:jc w:val="center"/>
              <w:rPr>
                <w:rFonts w:ascii="宋体" w:hAnsi="宋体"/>
                <w:color w:val="auto"/>
                <w:kern w:val="0"/>
                <w:szCs w:val="21"/>
                <w:highlight w:val="none"/>
              </w:rPr>
            </w:pPr>
            <w:r>
              <w:rPr>
                <w:rFonts w:ascii="宋体" w:hAnsi="宋体" w:cs="宋体"/>
                <w:color w:val="auto"/>
                <w:kern w:val="0"/>
                <w:szCs w:val="21"/>
                <w:highlight w:val="none"/>
              </w:rPr>
              <w:t>1</w:t>
            </w:r>
          </w:p>
        </w:tc>
        <w:tc>
          <w:tcPr>
            <w:tcW w:w="709" w:type="dxa"/>
            <w:vMerge w:val="restart"/>
            <w:textDirection w:val="tbRlV"/>
            <w:vAlign w:val="center"/>
          </w:tcPr>
          <w:p w14:paraId="73BE02CC">
            <w:pPr>
              <w:spacing w:line="360" w:lineRule="auto"/>
              <w:ind w:left="113" w:right="113"/>
              <w:jc w:val="center"/>
              <w:rPr>
                <w:rFonts w:ascii="宋体" w:hAnsi="宋体"/>
                <w:color w:val="auto"/>
                <w:kern w:val="0"/>
                <w:szCs w:val="21"/>
                <w:highlight w:val="none"/>
              </w:rPr>
            </w:pPr>
            <w:r>
              <w:rPr>
                <w:rFonts w:hint="eastAsia" w:ascii="宋体" w:hAnsi="宋体" w:cs="宋体"/>
                <w:color w:val="auto"/>
                <w:kern w:val="0"/>
                <w:szCs w:val="21"/>
                <w:highlight w:val="none"/>
              </w:rPr>
              <w:t>形式审查标准</w:t>
            </w:r>
          </w:p>
        </w:tc>
        <w:tc>
          <w:tcPr>
            <w:tcW w:w="2124" w:type="dxa"/>
            <w:gridSpan w:val="2"/>
            <w:vAlign w:val="center"/>
          </w:tcPr>
          <w:p w14:paraId="1EA3F73B">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申请方名称</w:t>
            </w:r>
          </w:p>
        </w:tc>
        <w:tc>
          <w:tcPr>
            <w:tcW w:w="5985" w:type="dxa"/>
            <w:vAlign w:val="center"/>
          </w:tcPr>
          <w:p w14:paraId="7BCAA9BC">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与营业执照、</w:t>
            </w:r>
            <w:r>
              <w:rPr>
                <w:rFonts w:hint="eastAsia" w:ascii="宋体" w:hAnsi="宋体"/>
                <w:color w:val="auto"/>
                <w:szCs w:val="21"/>
                <w:highlight w:val="none"/>
                <w:shd w:val="clear"/>
              </w:rPr>
              <w:t>资质证书</w:t>
            </w:r>
            <w:r>
              <w:rPr>
                <w:rFonts w:hint="eastAsia" w:ascii="宋体" w:hAnsi="宋体"/>
                <w:color w:val="auto"/>
                <w:szCs w:val="21"/>
                <w:highlight w:val="none"/>
              </w:rPr>
              <w:t>一致。</w:t>
            </w:r>
          </w:p>
        </w:tc>
      </w:tr>
      <w:tr w14:paraId="5425A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850" w:type="dxa"/>
            <w:vMerge w:val="continue"/>
            <w:vAlign w:val="center"/>
          </w:tcPr>
          <w:p w14:paraId="1B4D5CDA">
            <w:pPr>
              <w:spacing w:line="360" w:lineRule="auto"/>
              <w:rPr>
                <w:rFonts w:ascii="宋体" w:hAnsi="宋体"/>
                <w:color w:val="auto"/>
                <w:szCs w:val="21"/>
                <w:highlight w:val="none"/>
              </w:rPr>
            </w:pPr>
          </w:p>
        </w:tc>
        <w:tc>
          <w:tcPr>
            <w:tcW w:w="709" w:type="dxa"/>
            <w:vMerge w:val="continue"/>
            <w:vAlign w:val="center"/>
          </w:tcPr>
          <w:p w14:paraId="177A08A2">
            <w:pPr>
              <w:spacing w:line="360" w:lineRule="auto"/>
              <w:rPr>
                <w:rFonts w:ascii="宋体" w:hAnsi="宋体"/>
                <w:color w:val="auto"/>
                <w:szCs w:val="21"/>
                <w:highlight w:val="none"/>
              </w:rPr>
            </w:pPr>
          </w:p>
        </w:tc>
        <w:tc>
          <w:tcPr>
            <w:tcW w:w="2124" w:type="dxa"/>
            <w:gridSpan w:val="2"/>
            <w:vAlign w:val="center"/>
          </w:tcPr>
          <w:p w14:paraId="1706AB4F">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申请函签字盖章</w:t>
            </w:r>
          </w:p>
        </w:tc>
        <w:tc>
          <w:tcPr>
            <w:tcW w:w="5985" w:type="dxa"/>
            <w:vAlign w:val="center"/>
          </w:tcPr>
          <w:p w14:paraId="60656D90">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有法定代表人或其委托代理人签字、加盖单位章。</w:t>
            </w:r>
          </w:p>
        </w:tc>
      </w:tr>
      <w:tr w14:paraId="4854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trPr>
        <w:tc>
          <w:tcPr>
            <w:tcW w:w="850" w:type="dxa"/>
            <w:vMerge w:val="continue"/>
            <w:vAlign w:val="center"/>
          </w:tcPr>
          <w:p w14:paraId="41A197EA">
            <w:pPr>
              <w:spacing w:line="360" w:lineRule="auto"/>
              <w:rPr>
                <w:rFonts w:ascii="宋体" w:hAnsi="宋体"/>
                <w:color w:val="auto"/>
                <w:szCs w:val="21"/>
                <w:highlight w:val="none"/>
              </w:rPr>
            </w:pPr>
          </w:p>
        </w:tc>
        <w:tc>
          <w:tcPr>
            <w:tcW w:w="709" w:type="dxa"/>
            <w:vMerge w:val="continue"/>
            <w:vAlign w:val="center"/>
          </w:tcPr>
          <w:p w14:paraId="72AB8465">
            <w:pPr>
              <w:spacing w:line="360" w:lineRule="auto"/>
              <w:rPr>
                <w:rFonts w:ascii="宋体" w:hAnsi="宋体"/>
                <w:color w:val="auto"/>
                <w:szCs w:val="21"/>
                <w:highlight w:val="none"/>
              </w:rPr>
            </w:pPr>
          </w:p>
        </w:tc>
        <w:tc>
          <w:tcPr>
            <w:tcW w:w="2124" w:type="dxa"/>
            <w:gridSpan w:val="2"/>
            <w:vAlign w:val="center"/>
          </w:tcPr>
          <w:p w14:paraId="1BBAD9E0">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申请文件格式</w:t>
            </w:r>
          </w:p>
        </w:tc>
        <w:tc>
          <w:tcPr>
            <w:tcW w:w="5985" w:type="dxa"/>
            <w:vAlign w:val="center"/>
          </w:tcPr>
          <w:p w14:paraId="3B6A7C65">
            <w:pPr>
              <w:autoSpaceDE w:val="0"/>
              <w:autoSpaceDN w:val="0"/>
              <w:adjustRightInd w:val="0"/>
              <w:snapToGrid w:val="0"/>
              <w:ind w:firstLine="420" w:firstLineChars="200"/>
              <w:jc w:val="left"/>
              <w:rPr>
                <w:rFonts w:ascii="宋体" w:hAnsi="宋体"/>
                <w:color w:val="auto"/>
                <w:szCs w:val="21"/>
                <w:highlight w:val="none"/>
              </w:rPr>
            </w:pPr>
            <w:r>
              <w:rPr>
                <w:rFonts w:hint="eastAsia" w:ascii="宋体" w:hAnsi="宋体"/>
                <w:color w:val="auto"/>
                <w:szCs w:val="21"/>
                <w:highlight w:val="none"/>
              </w:rPr>
              <w:t>符合第四章“比选申请文件格式”的要求，字迹清晰可辨。</w:t>
            </w:r>
          </w:p>
        </w:tc>
      </w:tr>
      <w:tr w14:paraId="485B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trPr>
        <w:tc>
          <w:tcPr>
            <w:tcW w:w="850" w:type="dxa"/>
            <w:vMerge w:val="continue"/>
            <w:vAlign w:val="center"/>
          </w:tcPr>
          <w:p w14:paraId="6856E360">
            <w:pPr>
              <w:spacing w:line="360" w:lineRule="auto"/>
              <w:rPr>
                <w:rFonts w:ascii="宋体" w:hAnsi="宋体"/>
                <w:color w:val="auto"/>
                <w:szCs w:val="21"/>
                <w:highlight w:val="none"/>
              </w:rPr>
            </w:pPr>
          </w:p>
        </w:tc>
        <w:tc>
          <w:tcPr>
            <w:tcW w:w="709" w:type="dxa"/>
            <w:vMerge w:val="continue"/>
            <w:vAlign w:val="center"/>
          </w:tcPr>
          <w:p w14:paraId="080EDB33">
            <w:pPr>
              <w:spacing w:line="360" w:lineRule="auto"/>
              <w:rPr>
                <w:rFonts w:ascii="宋体" w:hAnsi="宋体"/>
                <w:color w:val="auto"/>
                <w:szCs w:val="21"/>
                <w:highlight w:val="none"/>
              </w:rPr>
            </w:pPr>
          </w:p>
        </w:tc>
        <w:tc>
          <w:tcPr>
            <w:tcW w:w="2124" w:type="dxa"/>
            <w:gridSpan w:val="2"/>
            <w:vAlign w:val="center"/>
          </w:tcPr>
          <w:p w14:paraId="5707A9EC">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报价唯一</w:t>
            </w:r>
          </w:p>
        </w:tc>
        <w:tc>
          <w:tcPr>
            <w:tcW w:w="5985" w:type="dxa"/>
            <w:vAlign w:val="center"/>
          </w:tcPr>
          <w:p w14:paraId="06F677F8">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只能有一个有效报价，在比选文件没有规定的情况下，不得提交选择性报价。</w:t>
            </w:r>
          </w:p>
          <w:p w14:paraId="01CE9535">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s="宋体"/>
                <w:snapToGrid w:val="0"/>
                <w:color w:val="auto"/>
                <w:kern w:val="0"/>
                <w:szCs w:val="21"/>
                <w:highlight w:val="none"/>
              </w:rPr>
              <w:t>报价不得超过最高限价，否则其投标文件按作废处理。</w:t>
            </w:r>
          </w:p>
        </w:tc>
      </w:tr>
      <w:tr w14:paraId="67D3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850" w:type="dxa"/>
            <w:vMerge w:val="continue"/>
            <w:vAlign w:val="center"/>
          </w:tcPr>
          <w:p w14:paraId="0C5E8BC7">
            <w:pPr>
              <w:spacing w:line="360" w:lineRule="auto"/>
              <w:rPr>
                <w:rFonts w:ascii="宋体" w:hAnsi="宋体"/>
                <w:color w:val="auto"/>
                <w:szCs w:val="21"/>
                <w:highlight w:val="none"/>
              </w:rPr>
            </w:pPr>
          </w:p>
        </w:tc>
        <w:tc>
          <w:tcPr>
            <w:tcW w:w="709" w:type="dxa"/>
            <w:vMerge w:val="continue"/>
            <w:vAlign w:val="center"/>
          </w:tcPr>
          <w:p w14:paraId="1E384A87">
            <w:pPr>
              <w:spacing w:line="360" w:lineRule="auto"/>
              <w:rPr>
                <w:rFonts w:ascii="宋体" w:hAnsi="宋体"/>
                <w:color w:val="auto"/>
                <w:szCs w:val="21"/>
                <w:highlight w:val="none"/>
              </w:rPr>
            </w:pPr>
          </w:p>
        </w:tc>
        <w:tc>
          <w:tcPr>
            <w:tcW w:w="2124" w:type="dxa"/>
            <w:gridSpan w:val="2"/>
            <w:vAlign w:val="center"/>
          </w:tcPr>
          <w:p w14:paraId="66D35572">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申请文件的签署</w:t>
            </w:r>
          </w:p>
        </w:tc>
        <w:tc>
          <w:tcPr>
            <w:tcW w:w="5985" w:type="dxa"/>
            <w:vAlign w:val="center"/>
          </w:tcPr>
          <w:p w14:paraId="660D8054">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比选申请文件上法定代表人或其授权代理人的签字齐全。</w:t>
            </w:r>
          </w:p>
        </w:tc>
      </w:tr>
      <w:tr w14:paraId="52E42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trPr>
        <w:tc>
          <w:tcPr>
            <w:tcW w:w="850" w:type="dxa"/>
            <w:vMerge w:val="restart"/>
            <w:vAlign w:val="center"/>
          </w:tcPr>
          <w:p w14:paraId="32577E1F">
            <w:pPr>
              <w:spacing w:line="360" w:lineRule="auto"/>
              <w:jc w:val="center"/>
              <w:rPr>
                <w:rFonts w:ascii="宋体" w:hAnsi="宋体" w:cs="宋体"/>
                <w:color w:val="auto"/>
                <w:kern w:val="0"/>
                <w:szCs w:val="21"/>
                <w:highlight w:val="none"/>
              </w:rPr>
            </w:pPr>
            <w:r>
              <w:rPr>
                <w:rFonts w:ascii="宋体" w:hAnsi="宋体" w:cs="宋体"/>
                <w:color w:val="auto"/>
                <w:kern w:val="0"/>
                <w:szCs w:val="21"/>
                <w:highlight w:val="none"/>
              </w:rPr>
              <w:t>2</w:t>
            </w:r>
          </w:p>
        </w:tc>
        <w:tc>
          <w:tcPr>
            <w:tcW w:w="709" w:type="dxa"/>
            <w:vMerge w:val="restart"/>
            <w:vAlign w:val="center"/>
          </w:tcPr>
          <w:p w14:paraId="0EB03085">
            <w:pPr>
              <w:jc w:val="center"/>
              <w:rPr>
                <w:rFonts w:ascii="宋体" w:hAnsi="宋体"/>
                <w:color w:val="auto"/>
                <w:kern w:val="0"/>
                <w:szCs w:val="21"/>
                <w:highlight w:val="none"/>
              </w:rPr>
            </w:pPr>
            <w:r>
              <w:rPr>
                <w:rFonts w:hint="eastAsia" w:ascii="宋体" w:hAnsi="宋体" w:cs="宋体"/>
                <w:color w:val="auto"/>
                <w:kern w:val="0"/>
                <w:szCs w:val="21"/>
                <w:highlight w:val="none"/>
              </w:rPr>
              <w:t>资格审查标准</w:t>
            </w:r>
          </w:p>
        </w:tc>
        <w:tc>
          <w:tcPr>
            <w:tcW w:w="708" w:type="dxa"/>
            <w:vMerge w:val="restart"/>
            <w:vAlign w:val="center"/>
          </w:tcPr>
          <w:p w14:paraId="4990800C">
            <w:pPr>
              <w:jc w:val="center"/>
              <w:rPr>
                <w:rFonts w:ascii="宋体" w:hAnsi="宋体" w:cs="宋体"/>
                <w:color w:val="auto"/>
                <w:kern w:val="0"/>
                <w:szCs w:val="21"/>
                <w:highlight w:val="none"/>
              </w:rPr>
            </w:pPr>
            <w:r>
              <w:rPr>
                <w:rFonts w:hint="eastAsia" w:ascii="宋体" w:hAnsi="宋体" w:cs="宋体"/>
                <w:color w:val="auto"/>
                <w:kern w:val="0"/>
                <w:szCs w:val="21"/>
                <w:highlight w:val="none"/>
              </w:rPr>
              <w:t>必要合格条件</w:t>
            </w:r>
          </w:p>
        </w:tc>
        <w:tc>
          <w:tcPr>
            <w:tcW w:w="1416" w:type="dxa"/>
            <w:vAlign w:val="center"/>
          </w:tcPr>
          <w:p w14:paraId="49764A7D">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营业执照</w:t>
            </w:r>
          </w:p>
        </w:tc>
        <w:tc>
          <w:tcPr>
            <w:tcW w:w="5985" w:type="dxa"/>
            <w:vAlign w:val="center"/>
          </w:tcPr>
          <w:p w14:paraId="3AEDBD3E">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具备有效的营业执照。</w:t>
            </w:r>
          </w:p>
        </w:tc>
      </w:tr>
      <w:tr w14:paraId="58B68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14:paraId="3D0CB0F2">
            <w:pPr>
              <w:spacing w:line="360" w:lineRule="auto"/>
              <w:rPr>
                <w:rFonts w:ascii="宋体" w:hAnsi="宋体"/>
                <w:color w:val="auto"/>
                <w:szCs w:val="21"/>
                <w:highlight w:val="none"/>
              </w:rPr>
            </w:pPr>
          </w:p>
        </w:tc>
        <w:tc>
          <w:tcPr>
            <w:tcW w:w="709" w:type="dxa"/>
            <w:vMerge w:val="continue"/>
            <w:vAlign w:val="center"/>
          </w:tcPr>
          <w:p w14:paraId="69D603BA">
            <w:pPr>
              <w:spacing w:line="360" w:lineRule="auto"/>
              <w:rPr>
                <w:rFonts w:ascii="宋体" w:hAnsi="宋体"/>
                <w:color w:val="auto"/>
                <w:szCs w:val="21"/>
                <w:highlight w:val="none"/>
              </w:rPr>
            </w:pPr>
          </w:p>
        </w:tc>
        <w:tc>
          <w:tcPr>
            <w:tcW w:w="708" w:type="dxa"/>
            <w:vMerge w:val="continue"/>
            <w:vAlign w:val="center"/>
          </w:tcPr>
          <w:p w14:paraId="354F047B">
            <w:pPr>
              <w:spacing w:line="360" w:lineRule="auto"/>
              <w:jc w:val="left"/>
              <w:rPr>
                <w:rFonts w:ascii="宋体" w:hAnsi="宋体" w:cs="宋体"/>
                <w:color w:val="auto"/>
                <w:kern w:val="0"/>
                <w:szCs w:val="21"/>
                <w:highlight w:val="none"/>
              </w:rPr>
            </w:pPr>
          </w:p>
        </w:tc>
        <w:tc>
          <w:tcPr>
            <w:tcW w:w="1416" w:type="dxa"/>
            <w:vAlign w:val="center"/>
          </w:tcPr>
          <w:p w14:paraId="6746F213">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业绩材料</w:t>
            </w:r>
          </w:p>
        </w:tc>
        <w:tc>
          <w:tcPr>
            <w:tcW w:w="5985" w:type="dxa"/>
            <w:vAlign w:val="center"/>
          </w:tcPr>
          <w:p w14:paraId="39A7CF55">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6 </w:t>
            </w:r>
            <w:r>
              <w:rPr>
                <w:rFonts w:hint="eastAsia" w:ascii="宋体" w:hAnsi="宋体"/>
                <w:color w:val="auto"/>
                <w:szCs w:val="21"/>
                <w:highlight w:val="none"/>
              </w:rPr>
              <w:t>项规定。</w:t>
            </w:r>
          </w:p>
        </w:tc>
      </w:tr>
      <w:tr w14:paraId="7EEA3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14:paraId="7DCE67C3">
            <w:pPr>
              <w:spacing w:line="360" w:lineRule="auto"/>
              <w:rPr>
                <w:rFonts w:ascii="宋体" w:hAnsi="宋体"/>
                <w:color w:val="auto"/>
                <w:szCs w:val="21"/>
                <w:highlight w:val="none"/>
              </w:rPr>
            </w:pPr>
          </w:p>
        </w:tc>
        <w:tc>
          <w:tcPr>
            <w:tcW w:w="709" w:type="dxa"/>
            <w:vMerge w:val="continue"/>
            <w:vAlign w:val="center"/>
          </w:tcPr>
          <w:p w14:paraId="25C66D22">
            <w:pPr>
              <w:spacing w:line="360" w:lineRule="auto"/>
              <w:rPr>
                <w:rFonts w:ascii="宋体" w:hAnsi="宋体"/>
                <w:color w:val="auto"/>
                <w:szCs w:val="21"/>
                <w:highlight w:val="none"/>
              </w:rPr>
            </w:pPr>
          </w:p>
        </w:tc>
        <w:tc>
          <w:tcPr>
            <w:tcW w:w="708" w:type="dxa"/>
            <w:vMerge w:val="continue"/>
            <w:vAlign w:val="center"/>
          </w:tcPr>
          <w:p w14:paraId="365719D6">
            <w:pPr>
              <w:spacing w:line="360" w:lineRule="auto"/>
              <w:jc w:val="left"/>
              <w:rPr>
                <w:rFonts w:ascii="宋体" w:hAnsi="宋体" w:cs="宋体"/>
                <w:color w:val="auto"/>
                <w:kern w:val="0"/>
                <w:szCs w:val="21"/>
                <w:highlight w:val="none"/>
              </w:rPr>
            </w:pPr>
          </w:p>
        </w:tc>
        <w:tc>
          <w:tcPr>
            <w:tcW w:w="1416" w:type="dxa"/>
            <w:vAlign w:val="center"/>
          </w:tcPr>
          <w:p w14:paraId="31DFFA3C">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成立时间及人员履历</w:t>
            </w:r>
          </w:p>
        </w:tc>
        <w:tc>
          <w:tcPr>
            <w:tcW w:w="5985" w:type="dxa"/>
            <w:vAlign w:val="center"/>
          </w:tcPr>
          <w:p w14:paraId="41FA782C">
            <w:pPr>
              <w:autoSpaceDE w:val="0"/>
              <w:autoSpaceDN w:val="0"/>
              <w:adjustRightInd w:val="0"/>
              <w:snapToGrid w:val="0"/>
              <w:ind w:firstLine="420" w:firstLineChars="200"/>
              <w:jc w:val="left"/>
              <w:rPr>
                <w:rFonts w:ascii="宋体" w:hAnsi="宋体"/>
                <w:b/>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6 </w:t>
            </w:r>
            <w:r>
              <w:rPr>
                <w:rFonts w:hint="eastAsia" w:ascii="宋体" w:hAnsi="宋体"/>
                <w:color w:val="auto"/>
                <w:szCs w:val="21"/>
                <w:highlight w:val="none"/>
              </w:rPr>
              <w:t>项规定</w:t>
            </w:r>
          </w:p>
        </w:tc>
      </w:tr>
      <w:tr w14:paraId="4F7D0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850" w:type="dxa"/>
            <w:vMerge w:val="restart"/>
            <w:vAlign w:val="center"/>
          </w:tcPr>
          <w:p w14:paraId="199671FB">
            <w:pPr>
              <w:spacing w:line="360" w:lineRule="auto"/>
              <w:jc w:val="center"/>
              <w:rPr>
                <w:rFonts w:ascii="宋体" w:hAnsi="宋体" w:cs="宋体"/>
                <w:color w:val="auto"/>
                <w:szCs w:val="21"/>
                <w:highlight w:val="none"/>
              </w:rPr>
            </w:pPr>
            <w:r>
              <w:rPr>
                <w:rFonts w:ascii="宋体" w:hAnsi="宋体" w:cs="宋体"/>
                <w:color w:val="auto"/>
                <w:kern w:val="0"/>
                <w:szCs w:val="21"/>
                <w:highlight w:val="none"/>
              </w:rPr>
              <w:t>3</w:t>
            </w:r>
          </w:p>
        </w:tc>
        <w:tc>
          <w:tcPr>
            <w:tcW w:w="709" w:type="dxa"/>
            <w:vMerge w:val="restart"/>
            <w:vAlign w:val="center"/>
          </w:tcPr>
          <w:p w14:paraId="3857653D">
            <w:pPr>
              <w:jc w:val="center"/>
              <w:rPr>
                <w:rFonts w:ascii="宋体" w:hAnsi="宋体" w:cs="宋体"/>
                <w:color w:val="auto"/>
                <w:szCs w:val="21"/>
                <w:highlight w:val="none"/>
              </w:rPr>
            </w:pPr>
            <w:r>
              <w:rPr>
                <w:rFonts w:hint="eastAsia" w:ascii="宋体" w:hAnsi="宋体" w:cs="宋体"/>
                <w:color w:val="auto"/>
                <w:kern w:val="0"/>
                <w:szCs w:val="21"/>
                <w:highlight w:val="none"/>
              </w:rPr>
              <w:t>响应性审查标准</w:t>
            </w:r>
          </w:p>
        </w:tc>
        <w:tc>
          <w:tcPr>
            <w:tcW w:w="2124" w:type="dxa"/>
            <w:gridSpan w:val="2"/>
            <w:vAlign w:val="center"/>
          </w:tcPr>
          <w:p w14:paraId="6F95D0D1">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服务内容及服务</w:t>
            </w:r>
            <w:r>
              <w:rPr>
                <w:rFonts w:ascii="宋体" w:hAnsi="宋体" w:cs="宋体"/>
                <w:color w:val="auto"/>
                <w:kern w:val="0"/>
                <w:szCs w:val="21"/>
                <w:highlight w:val="none"/>
              </w:rPr>
              <w:t>质量</w:t>
            </w:r>
          </w:p>
        </w:tc>
        <w:tc>
          <w:tcPr>
            <w:tcW w:w="5985" w:type="dxa"/>
            <w:vAlign w:val="center"/>
          </w:tcPr>
          <w:p w14:paraId="248BDF0B">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4 项规定。</w:t>
            </w:r>
          </w:p>
        </w:tc>
      </w:tr>
      <w:tr w14:paraId="5E784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850" w:type="dxa"/>
            <w:vMerge w:val="continue"/>
            <w:vAlign w:val="center"/>
          </w:tcPr>
          <w:p w14:paraId="42E181F8">
            <w:pPr>
              <w:spacing w:line="360" w:lineRule="auto"/>
              <w:rPr>
                <w:rFonts w:ascii="宋体" w:hAnsi="宋体"/>
                <w:color w:val="auto"/>
                <w:szCs w:val="21"/>
                <w:highlight w:val="none"/>
              </w:rPr>
            </w:pPr>
          </w:p>
        </w:tc>
        <w:tc>
          <w:tcPr>
            <w:tcW w:w="709" w:type="dxa"/>
            <w:vMerge w:val="continue"/>
            <w:vAlign w:val="center"/>
          </w:tcPr>
          <w:p w14:paraId="16B0B88D">
            <w:pPr>
              <w:rPr>
                <w:rFonts w:ascii="宋体" w:hAnsi="宋体"/>
                <w:color w:val="auto"/>
                <w:szCs w:val="21"/>
                <w:highlight w:val="none"/>
              </w:rPr>
            </w:pPr>
          </w:p>
        </w:tc>
        <w:tc>
          <w:tcPr>
            <w:tcW w:w="2124" w:type="dxa"/>
            <w:gridSpan w:val="2"/>
            <w:vAlign w:val="center"/>
          </w:tcPr>
          <w:p w14:paraId="4DAE987D">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完成服务</w:t>
            </w:r>
            <w:r>
              <w:rPr>
                <w:rFonts w:ascii="宋体" w:hAnsi="宋体" w:cs="宋体"/>
                <w:color w:val="auto"/>
                <w:kern w:val="0"/>
                <w:szCs w:val="21"/>
                <w:highlight w:val="none"/>
              </w:rPr>
              <w:t>时间</w:t>
            </w:r>
          </w:p>
        </w:tc>
        <w:tc>
          <w:tcPr>
            <w:tcW w:w="5985" w:type="dxa"/>
            <w:vAlign w:val="center"/>
          </w:tcPr>
          <w:p w14:paraId="6F362221">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5 项规定。</w:t>
            </w:r>
          </w:p>
        </w:tc>
      </w:tr>
      <w:tr w14:paraId="2E0A3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850" w:type="dxa"/>
            <w:vMerge w:val="continue"/>
            <w:vAlign w:val="center"/>
          </w:tcPr>
          <w:p w14:paraId="465BF40C">
            <w:pPr>
              <w:spacing w:line="360" w:lineRule="auto"/>
              <w:rPr>
                <w:rFonts w:ascii="宋体" w:hAnsi="宋体"/>
                <w:color w:val="auto"/>
                <w:szCs w:val="21"/>
                <w:highlight w:val="none"/>
              </w:rPr>
            </w:pPr>
          </w:p>
        </w:tc>
        <w:tc>
          <w:tcPr>
            <w:tcW w:w="709" w:type="dxa"/>
            <w:vMerge w:val="continue"/>
            <w:vAlign w:val="center"/>
          </w:tcPr>
          <w:p w14:paraId="6E23A8F5">
            <w:pPr>
              <w:rPr>
                <w:rFonts w:ascii="宋体" w:hAnsi="宋体"/>
                <w:color w:val="auto"/>
                <w:szCs w:val="21"/>
                <w:highlight w:val="none"/>
              </w:rPr>
            </w:pPr>
          </w:p>
        </w:tc>
        <w:tc>
          <w:tcPr>
            <w:tcW w:w="2124" w:type="dxa"/>
            <w:gridSpan w:val="2"/>
            <w:vAlign w:val="center"/>
          </w:tcPr>
          <w:p w14:paraId="46E0D1AF">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比选申请有效期</w:t>
            </w:r>
          </w:p>
        </w:tc>
        <w:tc>
          <w:tcPr>
            <w:tcW w:w="5985" w:type="dxa"/>
            <w:vAlign w:val="center"/>
          </w:tcPr>
          <w:p w14:paraId="36A24DFB">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10 项规定。</w:t>
            </w:r>
          </w:p>
        </w:tc>
      </w:tr>
    </w:tbl>
    <w:p w14:paraId="72424C70">
      <w:pPr>
        <w:pStyle w:val="3"/>
        <w:spacing w:before="120" w:after="120" w:line="360" w:lineRule="auto"/>
        <w:jc w:val="left"/>
        <w:rPr>
          <w:rFonts w:ascii="宋体" w:hAnsi="宋体"/>
          <w:snapToGrid w:val="0"/>
          <w:color w:val="auto"/>
          <w:sz w:val="21"/>
          <w:szCs w:val="21"/>
          <w:highlight w:val="none"/>
        </w:rPr>
      </w:pPr>
      <w:r>
        <w:rPr>
          <w:rFonts w:ascii="宋体" w:hAnsi="宋体"/>
          <w:snapToGrid w:val="0"/>
          <w:color w:val="auto"/>
          <w:sz w:val="21"/>
          <w:szCs w:val="21"/>
          <w:highlight w:val="none"/>
        </w:rPr>
        <w:t xml:space="preserve">      未通过资质审查的比选申请文件</w:t>
      </w:r>
      <w:r>
        <w:rPr>
          <w:rFonts w:hint="eastAsia" w:ascii="宋体" w:hAnsi="宋体"/>
          <w:snapToGrid w:val="0"/>
          <w:color w:val="auto"/>
          <w:sz w:val="21"/>
          <w:szCs w:val="21"/>
          <w:highlight w:val="none"/>
        </w:rPr>
        <w:t>不进入</w:t>
      </w:r>
      <w:r>
        <w:rPr>
          <w:rFonts w:ascii="宋体" w:hAnsi="宋体"/>
          <w:snapToGrid w:val="0"/>
          <w:color w:val="auto"/>
          <w:sz w:val="21"/>
          <w:szCs w:val="21"/>
          <w:highlight w:val="none"/>
        </w:rPr>
        <w:t>综合评分名单。</w:t>
      </w:r>
    </w:p>
    <w:p w14:paraId="7BA99903">
      <w:pPr>
        <w:pStyle w:val="3"/>
        <w:spacing w:before="120" w:after="120" w:line="360" w:lineRule="auto"/>
        <w:jc w:val="center"/>
        <w:rPr>
          <w:rFonts w:ascii="宋体" w:hAnsi="宋体"/>
          <w:snapToGrid w:val="0"/>
          <w:color w:val="auto"/>
          <w:sz w:val="21"/>
          <w:szCs w:val="21"/>
          <w:highlight w:val="none"/>
        </w:rPr>
      </w:pPr>
    </w:p>
    <w:p w14:paraId="074DE7B0">
      <w:pPr>
        <w:rPr>
          <w:highlight w:val="none"/>
        </w:rPr>
      </w:pPr>
    </w:p>
    <w:p w14:paraId="5DB8C38B">
      <w:pPr>
        <w:pStyle w:val="6"/>
        <w:rPr>
          <w:highlight w:val="none"/>
        </w:rPr>
      </w:pPr>
    </w:p>
    <w:p w14:paraId="6D394750">
      <w:pPr>
        <w:pStyle w:val="7"/>
        <w:rPr>
          <w:highlight w:val="none"/>
        </w:rPr>
      </w:pPr>
    </w:p>
    <w:p w14:paraId="658EE189">
      <w:pPr>
        <w:rPr>
          <w:highlight w:val="none"/>
        </w:rPr>
      </w:pPr>
    </w:p>
    <w:p w14:paraId="6B4ABE34">
      <w:pPr>
        <w:pStyle w:val="6"/>
        <w:rPr>
          <w:highlight w:val="none"/>
        </w:rPr>
      </w:pPr>
    </w:p>
    <w:p w14:paraId="54FBFE87">
      <w:pPr>
        <w:pStyle w:val="7"/>
        <w:rPr>
          <w:highlight w:val="none"/>
        </w:rPr>
      </w:pPr>
    </w:p>
    <w:p w14:paraId="59F6AA22">
      <w:pPr>
        <w:rPr>
          <w:highlight w:val="none"/>
        </w:rPr>
      </w:pPr>
    </w:p>
    <w:p w14:paraId="2B4B9236">
      <w:pPr>
        <w:pStyle w:val="6"/>
        <w:rPr>
          <w:highlight w:val="none"/>
        </w:rPr>
      </w:pPr>
    </w:p>
    <w:p w14:paraId="7E224A77">
      <w:pPr>
        <w:rPr>
          <w:highlight w:val="none"/>
        </w:rPr>
      </w:pPr>
    </w:p>
    <w:p w14:paraId="2CF80EF0">
      <w:pPr>
        <w:rPr>
          <w:highlight w:val="none"/>
        </w:rPr>
      </w:pPr>
    </w:p>
    <w:p w14:paraId="1180349E">
      <w:pPr>
        <w:rPr>
          <w:highlight w:val="none"/>
        </w:rPr>
      </w:pPr>
    </w:p>
    <w:p w14:paraId="5F94B8E9">
      <w:pPr>
        <w:pStyle w:val="3"/>
        <w:spacing w:before="120" w:after="120" w:line="360" w:lineRule="auto"/>
        <w:jc w:val="center"/>
        <w:rPr>
          <w:rFonts w:ascii="宋体" w:hAnsi="宋体"/>
          <w:snapToGrid w:val="0"/>
          <w:color w:val="auto"/>
          <w:sz w:val="21"/>
          <w:szCs w:val="21"/>
          <w:highlight w:val="none"/>
        </w:rPr>
      </w:pPr>
      <w:r>
        <w:rPr>
          <w:rFonts w:hint="eastAsia" w:ascii="宋体" w:hAnsi="宋体"/>
          <w:snapToGrid w:val="0"/>
          <w:color w:val="auto"/>
          <w:sz w:val="21"/>
          <w:szCs w:val="21"/>
          <w:highlight w:val="none"/>
        </w:rPr>
        <w:t>第二步</w:t>
      </w:r>
      <w:r>
        <w:rPr>
          <w:rFonts w:ascii="宋体" w:hAnsi="宋体"/>
          <w:snapToGrid w:val="0"/>
          <w:color w:val="auto"/>
          <w:sz w:val="21"/>
          <w:szCs w:val="21"/>
          <w:highlight w:val="none"/>
        </w:rPr>
        <w:t xml:space="preserve"> </w:t>
      </w:r>
      <w:r>
        <w:rPr>
          <w:rFonts w:hint="eastAsia" w:ascii="宋体" w:hAnsi="宋体"/>
          <w:snapToGrid w:val="0"/>
          <w:color w:val="auto"/>
          <w:sz w:val="21"/>
          <w:szCs w:val="21"/>
          <w:highlight w:val="none"/>
        </w:rPr>
        <w:t>综合</w:t>
      </w:r>
      <w:r>
        <w:rPr>
          <w:rFonts w:ascii="宋体" w:hAnsi="宋体"/>
          <w:snapToGrid w:val="0"/>
          <w:color w:val="auto"/>
          <w:sz w:val="21"/>
          <w:szCs w:val="21"/>
          <w:highlight w:val="none"/>
        </w:rPr>
        <w:t>评分办</w:t>
      </w:r>
      <w:r>
        <w:rPr>
          <w:rFonts w:hint="eastAsia" w:ascii="宋体" w:hAnsi="宋体"/>
          <w:snapToGrid w:val="0"/>
          <w:color w:val="auto"/>
          <w:sz w:val="21"/>
          <w:szCs w:val="21"/>
          <w:highlight w:val="none"/>
        </w:rPr>
        <w:t>法</w:t>
      </w:r>
    </w:p>
    <w:p w14:paraId="6516C0B9">
      <w:pPr>
        <w:widowControl/>
        <w:jc w:val="left"/>
        <w:rPr>
          <w:rFonts w:ascii="宋体" w:hAnsi="宋体"/>
          <w:b/>
          <w:color w:val="auto"/>
          <w:sz w:val="36"/>
          <w:szCs w:val="36"/>
          <w:highlight w:val="none"/>
        </w:rPr>
      </w:pPr>
      <w:r>
        <w:rPr>
          <w:rFonts w:hint="eastAsia"/>
          <w:b/>
          <w:highlight w:val="none"/>
        </w:rPr>
        <w:t xml:space="preserve"> 通过资质审查的按以下办法综合评分。</w:t>
      </w:r>
      <w:bookmarkEnd w:id="35"/>
      <w:bookmarkStart w:id="36" w:name="_Toc432171192"/>
    </w:p>
    <w:tbl>
      <w:tblPr>
        <w:tblStyle w:val="15"/>
        <w:tblW w:w="9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1159"/>
        <w:gridCol w:w="1356"/>
        <w:gridCol w:w="4582"/>
        <w:gridCol w:w="1835"/>
      </w:tblGrid>
      <w:tr w14:paraId="7F74D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6" w:hRule="atLeast"/>
        </w:trPr>
        <w:tc>
          <w:tcPr>
            <w:tcW w:w="584" w:type="dxa"/>
            <w:noWrap w:val="0"/>
            <w:vAlign w:val="center"/>
          </w:tcPr>
          <w:p w14:paraId="6CA8EEE1">
            <w:pPr>
              <w:ind w:firstLine="28"/>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序号</w:t>
            </w:r>
          </w:p>
        </w:tc>
        <w:tc>
          <w:tcPr>
            <w:tcW w:w="1159" w:type="dxa"/>
            <w:noWrap w:val="0"/>
            <w:vAlign w:val="center"/>
          </w:tcPr>
          <w:p w14:paraId="4FCDA746">
            <w:pPr>
              <w:ind w:firstLine="28"/>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评分因素</w:t>
            </w:r>
          </w:p>
          <w:p w14:paraId="56A5E6EC">
            <w:pPr>
              <w:ind w:firstLine="28"/>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及权重</w:t>
            </w:r>
          </w:p>
        </w:tc>
        <w:tc>
          <w:tcPr>
            <w:tcW w:w="1356" w:type="dxa"/>
            <w:noWrap w:val="0"/>
            <w:vAlign w:val="center"/>
          </w:tcPr>
          <w:p w14:paraId="7A6834CB">
            <w:pPr>
              <w:ind w:firstLine="28"/>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分值</w:t>
            </w:r>
          </w:p>
        </w:tc>
        <w:tc>
          <w:tcPr>
            <w:tcW w:w="4582" w:type="dxa"/>
            <w:noWrap w:val="0"/>
            <w:vAlign w:val="center"/>
          </w:tcPr>
          <w:p w14:paraId="6B25C972">
            <w:pPr>
              <w:ind w:firstLine="28"/>
              <w:jc w:val="center"/>
              <w:rPr>
                <w:rFonts w:hint="eastAsia" w:ascii="宋体" w:hAnsi="宋体" w:eastAsia="宋体" w:cs="宋体"/>
                <w:b/>
                <w:color w:val="auto"/>
                <w:sz w:val="18"/>
                <w:szCs w:val="18"/>
                <w:highlight w:val="none"/>
              </w:rPr>
            </w:pPr>
            <w:r>
              <w:rPr>
                <w:rFonts w:hint="eastAsia" w:ascii="宋体" w:hAnsi="宋体" w:eastAsia="宋体" w:cs="宋体"/>
                <w:b/>
                <w:color w:val="auto"/>
                <w:sz w:val="18"/>
                <w:szCs w:val="18"/>
                <w:highlight w:val="none"/>
              </w:rPr>
              <w:t>评分标准</w:t>
            </w:r>
          </w:p>
        </w:tc>
        <w:tc>
          <w:tcPr>
            <w:tcW w:w="1835" w:type="dxa"/>
            <w:noWrap w:val="0"/>
            <w:vAlign w:val="center"/>
          </w:tcPr>
          <w:p w14:paraId="5BB8D10D">
            <w:pPr>
              <w:pStyle w:val="39"/>
              <w:spacing w:before="0" w:after="0" w:line="240"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说明</w:t>
            </w:r>
          </w:p>
        </w:tc>
      </w:tr>
      <w:tr w14:paraId="59744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1" w:hRule="atLeast"/>
        </w:trPr>
        <w:tc>
          <w:tcPr>
            <w:tcW w:w="584" w:type="dxa"/>
            <w:noWrap w:val="0"/>
            <w:vAlign w:val="center"/>
          </w:tcPr>
          <w:p w14:paraId="0737C533">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w:t>
            </w:r>
          </w:p>
        </w:tc>
        <w:tc>
          <w:tcPr>
            <w:tcW w:w="1159" w:type="dxa"/>
            <w:noWrap w:val="0"/>
            <w:vAlign w:val="center"/>
          </w:tcPr>
          <w:p w14:paraId="454201BD">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投标报价</w:t>
            </w:r>
          </w:p>
          <w:p w14:paraId="11F358A3">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w:t>
            </w:r>
          </w:p>
        </w:tc>
        <w:tc>
          <w:tcPr>
            <w:tcW w:w="1356" w:type="dxa"/>
            <w:noWrap w:val="0"/>
            <w:vAlign w:val="center"/>
          </w:tcPr>
          <w:p w14:paraId="6F4A9D2D">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价格评分</w:t>
            </w:r>
          </w:p>
          <w:p w14:paraId="5AD40F3A">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（30分）</w:t>
            </w:r>
          </w:p>
        </w:tc>
        <w:tc>
          <w:tcPr>
            <w:tcW w:w="4582" w:type="dxa"/>
            <w:noWrap w:val="0"/>
            <w:vAlign w:val="center"/>
          </w:tcPr>
          <w:p w14:paraId="78A59BE4">
            <w:pPr>
              <w:snapToGrid w:val="0"/>
              <w:spacing w:line="240" w:lineRule="atLeast"/>
              <w:ind w:firstLine="28"/>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有效的投标报价中的最低价为评标基准价，按照下列公式计算每个投标人的投标价格得分。</w:t>
            </w:r>
          </w:p>
          <w:p w14:paraId="506B79A4">
            <w:pPr>
              <w:snapToGrid w:val="0"/>
              <w:spacing w:line="240" w:lineRule="atLeast"/>
              <w:ind w:firstLine="28"/>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投标报价得分＝（评标基准价/投标报价）×价格权重×100。</w:t>
            </w:r>
          </w:p>
        </w:tc>
        <w:tc>
          <w:tcPr>
            <w:tcW w:w="1835" w:type="dxa"/>
            <w:noWrap w:val="0"/>
            <w:vAlign w:val="center"/>
          </w:tcPr>
          <w:p w14:paraId="65E211B7">
            <w:pPr>
              <w:spacing w:line="240" w:lineRule="atLeast"/>
              <w:ind w:firstLine="28"/>
              <w:jc w:val="left"/>
              <w:rPr>
                <w:rFonts w:hint="eastAsia" w:ascii="宋体" w:hAnsi="宋体" w:eastAsia="宋体" w:cs="宋体"/>
                <w:color w:val="auto"/>
                <w:sz w:val="18"/>
                <w:szCs w:val="18"/>
                <w:highlight w:val="none"/>
              </w:rPr>
            </w:pPr>
            <w:r>
              <w:rPr>
                <w:rFonts w:hint="eastAsia" w:ascii="宋体" w:hAnsi="宋体" w:cs="宋体"/>
                <w:color w:val="auto"/>
                <w:sz w:val="18"/>
                <w:szCs w:val="18"/>
                <w:highlight w:val="none"/>
                <w:lang w:val="en-US" w:eastAsia="zh-CN"/>
              </w:rPr>
              <w:t>投标价格高于最高限价无效</w:t>
            </w:r>
          </w:p>
        </w:tc>
      </w:tr>
      <w:tr w14:paraId="6D2D0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trPr>
        <w:tc>
          <w:tcPr>
            <w:tcW w:w="584" w:type="dxa"/>
            <w:vMerge w:val="restart"/>
            <w:noWrap w:val="0"/>
            <w:vAlign w:val="center"/>
          </w:tcPr>
          <w:p w14:paraId="0638C7E6">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w:t>
            </w:r>
          </w:p>
        </w:tc>
        <w:tc>
          <w:tcPr>
            <w:tcW w:w="1159" w:type="dxa"/>
            <w:vMerge w:val="restart"/>
            <w:noWrap w:val="0"/>
            <w:vAlign w:val="center"/>
          </w:tcPr>
          <w:p w14:paraId="6A6FDCD0">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技术部分</w:t>
            </w:r>
          </w:p>
          <w:p w14:paraId="1BB2F6D8">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（40%）</w:t>
            </w:r>
          </w:p>
        </w:tc>
        <w:tc>
          <w:tcPr>
            <w:tcW w:w="1356" w:type="dxa"/>
            <w:noWrap w:val="0"/>
            <w:vAlign w:val="center"/>
          </w:tcPr>
          <w:p w14:paraId="4500947D">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技术响应</w:t>
            </w:r>
          </w:p>
          <w:p w14:paraId="31277430">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（30分）</w:t>
            </w:r>
          </w:p>
        </w:tc>
        <w:tc>
          <w:tcPr>
            <w:tcW w:w="4582" w:type="dxa"/>
            <w:noWrap w:val="0"/>
            <w:vAlign w:val="center"/>
          </w:tcPr>
          <w:p w14:paraId="21584544">
            <w:pPr>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1.扣分条款：</w:t>
            </w:r>
          </w:p>
          <w:p w14:paraId="1F31396D">
            <w:pPr>
              <w:pStyle w:val="14"/>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起评分30分，带</w:t>
            </w:r>
            <w:r>
              <w:rPr>
                <w:rFonts w:hint="eastAsia" w:ascii="宋体" w:hAnsi="宋体" w:eastAsia="宋体" w:cs="宋体"/>
                <w:color w:val="auto"/>
                <w:sz w:val="21"/>
                <w:szCs w:val="21"/>
                <w:highlight w:val="none"/>
              </w:rPr>
              <w:t>※</w:t>
            </w:r>
            <w:r>
              <w:rPr>
                <w:rFonts w:hint="eastAsia" w:ascii="宋体" w:hAnsi="宋体" w:eastAsia="宋体" w:cs="宋体"/>
                <w:color w:val="auto"/>
                <w:sz w:val="18"/>
                <w:szCs w:val="18"/>
                <w:highlight w:val="none"/>
              </w:rPr>
              <w:t>部分1条不满足扣3分，5条及以上不满足的技术部分得0分；非</w:t>
            </w:r>
            <w:r>
              <w:rPr>
                <w:rFonts w:hint="eastAsia" w:ascii="宋体" w:hAnsi="宋体" w:eastAsia="宋体" w:cs="宋体"/>
                <w:color w:val="auto"/>
                <w:sz w:val="21"/>
                <w:szCs w:val="21"/>
                <w:highlight w:val="none"/>
              </w:rPr>
              <w:t>※</w:t>
            </w:r>
            <w:r>
              <w:rPr>
                <w:rFonts w:hint="eastAsia" w:ascii="宋体" w:hAnsi="宋体" w:eastAsia="宋体" w:cs="宋体"/>
                <w:color w:val="auto"/>
                <w:sz w:val="18"/>
                <w:szCs w:val="18"/>
                <w:highlight w:val="none"/>
              </w:rPr>
              <w:t>部分1条不满足扣1分，8条及以上不满足的技术部分得0分。</w:t>
            </w:r>
          </w:p>
        </w:tc>
        <w:tc>
          <w:tcPr>
            <w:tcW w:w="1835" w:type="dxa"/>
            <w:noWrap w:val="0"/>
            <w:vAlign w:val="top"/>
          </w:tcPr>
          <w:p w14:paraId="483134B0">
            <w:pPr>
              <w:pStyle w:val="14"/>
              <w:ind w:firstLine="0"/>
              <w:jc w:val="left"/>
              <w:rPr>
                <w:rFonts w:hint="eastAsia" w:ascii="宋体" w:hAnsi="宋体" w:eastAsia="宋体" w:cs="宋体"/>
                <w:color w:val="auto"/>
                <w:sz w:val="18"/>
                <w:szCs w:val="18"/>
                <w:highlight w:val="none"/>
              </w:rPr>
            </w:pPr>
          </w:p>
          <w:p w14:paraId="309364E1">
            <w:pPr>
              <w:pStyle w:val="14"/>
              <w:ind w:firstLine="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注：检测报告的出具日期应在招标公告发布之日前，否则视为无效报告。</w:t>
            </w:r>
          </w:p>
        </w:tc>
      </w:tr>
      <w:tr w14:paraId="7AFA7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7" w:hRule="atLeast"/>
        </w:trPr>
        <w:tc>
          <w:tcPr>
            <w:tcW w:w="584" w:type="dxa"/>
            <w:vMerge w:val="continue"/>
            <w:noWrap w:val="0"/>
            <w:vAlign w:val="center"/>
          </w:tcPr>
          <w:p w14:paraId="4EEAFF35">
            <w:pPr>
              <w:ind w:firstLine="28"/>
              <w:jc w:val="center"/>
              <w:rPr>
                <w:rFonts w:hint="eastAsia" w:ascii="宋体" w:hAnsi="宋体" w:eastAsia="宋体" w:cs="宋体"/>
                <w:color w:val="auto"/>
                <w:sz w:val="18"/>
                <w:szCs w:val="18"/>
                <w:highlight w:val="none"/>
              </w:rPr>
            </w:pPr>
          </w:p>
        </w:tc>
        <w:tc>
          <w:tcPr>
            <w:tcW w:w="1159" w:type="dxa"/>
            <w:vMerge w:val="continue"/>
            <w:noWrap w:val="0"/>
            <w:vAlign w:val="center"/>
          </w:tcPr>
          <w:p w14:paraId="47EB8E4C">
            <w:pPr>
              <w:ind w:firstLine="28"/>
              <w:jc w:val="center"/>
              <w:rPr>
                <w:rFonts w:hint="eastAsia" w:ascii="宋体" w:hAnsi="宋体" w:eastAsia="宋体" w:cs="宋体"/>
                <w:color w:val="auto"/>
                <w:sz w:val="18"/>
                <w:szCs w:val="18"/>
                <w:highlight w:val="none"/>
              </w:rPr>
            </w:pPr>
          </w:p>
        </w:tc>
        <w:tc>
          <w:tcPr>
            <w:tcW w:w="1356" w:type="dxa"/>
            <w:noWrap w:val="0"/>
            <w:vAlign w:val="center"/>
          </w:tcPr>
          <w:p w14:paraId="2BC89A8C">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技术服务能力</w:t>
            </w:r>
          </w:p>
          <w:p w14:paraId="65CB1452">
            <w:pPr>
              <w:ind w:firstLine="28"/>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（10分）</w:t>
            </w:r>
          </w:p>
        </w:tc>
        <w:tc>
          <w:tcPr>
            <w:tcW w:w="4582" w:type="dxa"/>
            <w:noWrap w:val="0"/>
            <w:vAlign w:val="center"/>
          </w:tcPr>
          <w:p w14:paraId="7884B636">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1、提供跟车逃费方案（逃费后如何处理、如何补偿、如何追偿等三方面进行重点阐述），由</w:t>
            </w:r>
            <w:r>
              <w:rPr>
                <w:rFonts w:hint="eastAsia" w:ascii="宋体" w:hAnsi="宋体" w:cs="宋体"/>
                <w:color w:val="auto"/>
                <w:sz w:val="18"/>
                <w:szCs w:val="18"/>
                <w:highlight w:val="none"/>
                <w:lang w:val="en-US" w:eastAsia="zh-CN"/>
              </w:rPr>
              <w:t>采购比选小组</w:t>
            </w:r>
            <w:r>
              <w:rPr>
                <w:rFonts w:hint="eastAsia" w:ascii="宋体" w:hAnsi="宋体" w:eastAsia="宋体" w:cs="宋体"/>
                <w:color w:val="auto"/>
                <w:sz w:val="18"/>
                <w:szCs w:val="18"/>
                <w:highlight w:val="none"/>
              </w:rPr>
              <w:t>根据方案的合理性、可行性、完整性横向综合比较后酌情打分，优秀2分、良好1分，一般或无方案0分。</w:t>
            </w:r>
          </w:p>
          <w:p w14:paraId="3C4AA3F3">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2、提供车场接管及数据迁移方案（如何实现无缝衔接、安装日期排表、工期计划及与原服务单位的停车数据迁移），由</w:t>
            </w:r>
            <w:r>
              <w:rPr>
                <w:rFonts w:hint="eastAsia" w:ascii="宋体" w:hAnsi="宋体" w:cs="宋体"/>
                <w:color w:val="auto"/>
                <w:sz w:val="18"/>
                <w:szCs w:val="18"/>
                <w:highlight w:val="none"/>
                <w:lang w:eastAsia="zh-CN"/>
              </w:rPr>
              <w:t>采购比选小组</w:t>
            </w:r>
            <w:r>
              <w:rPr>
                <w:rFonts w:hint="eastAsia" w:ascii="宋体" w:hAnsi="宋体" w:eastAsia="宋体" w:cs="宋体"/>
                <w:color w:val="auto"/>
                <w:sz w:val="18"/>
                <w:szCs w:val="18"/>
                <w:highlight w:val="none"/>
              </w:rPr>
              <w:t>根据方案的合理性、可行性、完整性横向综合比较后酌情打分，优秀2分、良好1分，一般或无方案0分。</w:t>
            </w:r>
          </w:p>
          <w:p w14:paraId="3AFC2B0A">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3、提供售后服务方案（售后响应时间、培训方案、售后服务机构及人员的配置合理性、维护期内外的后续技术支持和维护能力情况、优惠承诺等）。由</w:t>
            </w:r>
            <w:r>
              <w:rPr>
                <w:rFonts w:hint="eastAsia" w:ascii="宋体" w:hAnsi="宋体" w:cs="宋体"/>
                <w:color w:val="auto"/>
                <w:sz w:val="18"/>
                <w:szCs w:val="18"/>
                <w:highlight w:val="none"/>
                <w:lang w:eastAsia="zh-CN"/>
              </w:rPr>
              <w:t>采购比选小组</w:t>
            </w:r>
            <w:r>
              <w:rPr>
                <w:rFonts w:hint="eastAsia" w:ascii="宋体" w:hAnsi="宋体" w:eastAsia="宋体" w:cs="宋体"/>
                <w:color w:val="auto"/>
                <w:sz w:val="18"/>
                <w:szCs w:val="18"/>
                <w:highlight w:val="none"/>
              </w:rPr>
              <w:t>根据方案的合理性、可行性、完整性横向综合比较后酌情打分，优秀2分、良好1分，一般或无方案0分。</w:t>
            </w:r>
          </w:p>
          <w:p w14:paraId="1EA8608E">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4、提供应急处置方案（断网、断电、自然灾害、极端天气、人为破坏等）,由</w:t>
            </w:r>
            <w:r>
              <w:rPr>
                <w:rFonts w:hint="eastAsia" w:ascii="宋体" w:hAnsi="宋体" w:cs="宋体"/>
                <w:color w:val="auto"/>
                <w:sz w:val="18"/>
                <w:szCs w:val="18"/>
                <w:highlight w:val="none"/>
                <w:lang w:eastAsia="zh-CN"/>
              </w:rPr>
              <w:t>采购比选小组</w:t>
            </w:r>
            <w:r>
              <w:rPr>
                <w:rFonts w:hint="eastAsia" w:ascii="宋体" w:hAnsi="宋体" w:eastAsia="宋体" w:cs="宋体"/>
                <w:color w:val="auto"/>
                <w:sz w:val="18"/>
                <w:szCs w:val="18"/>
                <w:highlight w:val="none"/>
              </w:rPr>
              <w:t>根据方案的合理性、可行性、完整性横向综合比较后酌情打分，优秀2分、良好1分，一般或无方案0分。</w:t>
            </w:r>
          </w:p>
          <w:p w14:paraId="3F03032D">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5、提供统一停车场VI设计方案（安全岛、标识标牌。缴费二维码）,由</w:t>
            </w:r>
            <w:r>
              <w:rPr>
                <w:rFonts w:hint="eastAsia" w:ascii="宋体" w:hAnsi="宋体" w:cs="宋体"/>
                <w:color w:val="auto"/>
                <w:sz w:val="18"/>
                <w:szCs w:val="18"/>
                <w:highlight w:val="none"/>
                <w:lang w:eastAsia="zh-CN"/>
              </w:rPr>
              <w:t>采购比选小组</w:t>
            </w:r>
            <w:r>
              <w:rPr>
                <w:rFonts w:hint="eastAsia" w:ascii="宋体" w:hAnsi="宋体" w:eastAsia="宋体" w:cs="宋体"/>
                <w:color w:val="auto"/>
                <w:sz w:val="18"/>
                <w:szCs w:val="18"/>
                <w:highlight w:val="none"/>
              </w:rPr>
              <w:t>根据方案的合理性、美观性、完整性横向综合比较后酌情打分，优秀2分、良好1分，一般或无方案0分。</w:t>
            </w:r>
          </w:p>
        </w:tc>
        <w:tc>
          <w:tcPr>
            <w:tcW w:w="1835" w:type="dxa"/>
            <w:noWrap w:val="0"/>
            <w:vAlign w:val="top"/>
          </w:tcPr>
          <w:p w14:paraId="0B4CAC3E">
            <w:pPr>
              <w:snapToGrid w:val="0"/>
              <w:rPr>
                <w:rFonts w:hint="eastAsia" w:ascii="宋体" w:hAnsi="宋体" w:eastAsia="宋体" w:cs="宋体"/>
                <w:color w:val="auto"/>
                <w:sz w:val="18"/>
                <w:szCs w:val="18"/>
                <w:highlight w:val="none"/>
              </w:rPr>
            </w:pPr>
          </w:p>
        </w:tc>
      </w:tr>
      <w:tr w14:paraId="12E3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trPr>
        <w:tc>
          <w:tcPr>
            <w:tcW w:w="584" w:type="dxa"/>
            <w:vMerge w:val="restart"/>
            <w:noWrap w:val="0"/>
            <w:vAlign w:val="center"/>
          </w:tcPr>
          <w:p w14:paraId="72D7BFF2">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w:t>
            </w:r>
          </w:p>
        </w:tc>
        <w:tc>
          <w:tcPr>
            <w:tcW w:w="1159" w:type="dxa"/>
            <w:vMerge w:val="restart"/>
            <w:noWrap w:val="0"/>
            <w:vAlign w:val="center"/>
          </w:tcPr>
          <w:p w14:paraId="49BECE25">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商务部分（30%）</w:t>
            </w:r>
          </w:p>
        </w:tc>
        <w:tc>
          <w:tcPr>
            <w:tcW w:w="1356" w:type="dxa"/>
            <w:noWrap w:val="0"/>
            <w:vAlign w:val="center"/>
          </w:tcPr>
          <w:p w14:paraId="290F8BBD">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信息技术能力</w:t>
            </w:r>
          </w:p>
          <w:p w14:paraId="5659B9F4">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w:t>
            </w:r>
            <w:r>
              <w:rPr>
                <w:rFonts w:hint="eastAsia" w:ascii="宋体" w:hAnsi="宋体" w:cs="宋体"/>
                <w:color w:val="auto"/>
                <w:sz w:val="18"/>
                <w:szCs w:val="18"/>
                <w:highlight w:val="none"/>
                <w:lang w:val="en-US" w:eastAsia="zh-CN"/>
              </w:rPr>
              <w:t>0</w:t>
            </w:r>
            <w:r>
              <w:rPr>
                <w:rFonts w:hint="eastAsia" w:ascii="宋体" w:hAnsi="宋体" w:eastAsia="宋体" w:cs="宋体"/>
                <w:color w:val="auto"/>
                <w:sz w:val="18"/>
                <w:szCs w:val="18"/>
                <w:highlight w:val="none"/>
              </w:rPr>
              <w:t>分）</w:t>
            </w:r>
          </w:p>
        </w:tc>
        <w:tc>
          <w:tcPr>
            <w:tcW w:w="4582" w:type="dxa"/>
            <w:noWrap w:val="0"/>
            <w:vAlign w:val="top"/>
          </w:tcPr>
          <w:p w14:paraId="36F10A4C">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1、投标人具有CMMI3级认证证书及以上的得3分，投标人具有CMMI2级认证证书及以下的得1分，未提供不得分；</w:t>
            </w:r>
          </w:p>
          <w:p w14:paraId="27751C08">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2、投标产品制造商具备停车场相关发明专利或停车场软件产品相关计算机软件著作权，数量≥</w:t>
            </w:r>
            <w:r>
              <w:rPr>
                <w:rFonts w:hint="eastAsia" w:ascii="宋体" w:hAnsi="宋体" w:cs="宋体"/>
                <w:color w:val="auto"/>
                <w:sz w:val="18"/>
                <w:szCs w:val="18"/>
                <w:highlight w:val="none"/>
                <w:lang w:val="en-US" w:eastAsia="zh-CN"/>
              </w:rPr>
              <w:t>15</w:t>
            </w:r>
            <w:r>
              <w:rPr>
                <w:rFonts w:hint="eastAsia" w:ascii="宋体" w:hAnsi="宋体" w:eastAsia="宋体" w:cs="宋体"/>
                <w:color w:val="auto"/>
                <w:sz w:val="18"/>
                <w:szCs w:val="18"/>
                <w:highlight w:val="none"/>
              </w:rPr>
              <w:t>个的得3分，</w:t>
            </w:r>
            <w:r>
              <w:rPr>
                <w:rFonts w:hint="eastAsia" w:ascii="宋体" w:hAnsi="宋体" w:cs="宋体"/>
                <w:color w:val="auto"/>
                <w:sz w:val="18"/>
                <w:szCs w:val="18"/>
                <w:highlight w:val="none"/>
                <w:lang w:val="en-US" w:eastAsia="zh-CN"/>
              </w:rPr>
              <w:t>10</w:t>
            </w:r>
            <w:r>
              <w:rPr>
                <w:rFonts w:hint="eastAsia" w:ascii="宋体" w:hAnsi="宋体" w:eastAsia="宋体" w:cs="宋体"/>
                <w:color w:val="auto"/>
                <w:sz w:val="18"/>
                <w:szCs w:val="18"/>
                <w:highlight w:val="none"/>
              </w:rPr>
              <w:t>≤数量＜</w:t>
            </w:r>
            <w:r>
              <w:rPr>
                <w:rFonts w:hint="eastAsia" w:ascii="宋体" w:hAnsi="宋体" w:cs="宋体"/>
                <w:color w:val="auto"/>
                <w:sz w:val="18"/>
                <w:szCs w:val="18"/>
                <w:highlight w:val="none"/>
                <w:lang w:val="en-US" w:eastAsia="zh-CN"/>
              </w:rPr>
              <w:t>15</w:t>
            </w:r>
            <w:r>
              <w:rPr>
                <w:rFonts w:hint="eastAsia" w:ascii="宋体" w:hAnsi="宋体" w:eastAsia="宋体" w:cs="宋体"/>
                <w:color w:val="auto"/>
                <w:sz w:val="18"/>
                <w:szCs w:val="18"/>
                <w:highlight w:val="none"/>
              </w:rPr>
              <w:t>个的得2分，1≤数量＜</w:t>
            </w:r>
            <w:r>
              <w:rPr>
                <w:rFonts w:hint="eastAsia" w:ascii="宋体" w:hAnsi="宋体" w:cs="宋体"/>
                <w:color w:val="auto"/>
                <w:sz w:val="18"/>
                <w:szCs w:val="18"/>
                <w:highlight w:val="none"/>
                <w:lang w:val="en-US" w:eastAsia="zh-CN"/>
              </w:rPr>
              <w:t>10</w:t>
            </w:r>
            <w:r>
              <w:rPr>
                <w:rFonts w:hint="eastAsia" w:ascii="宋体" w:hAnsi="宋体" w:eastAsia="宋体" w:cs="宋体"/>
                <w:color w:val="auto"/>
                <w:sz w:val="18"/>
                <w:szCs w:val="18"/>
                <w:highlight w:val="none"/>
              </w:rPr>
              <w:t>个的得1分，满分1分，须提供证书复印件，否则不得分。</w:t>
            </w:r>
          </w:p>
          <w:p w14:paraId="063B7B45">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3、投标人运维能力分析，以下证书每提供一个得1分，总分3分；</w:t>
            </w:r>
          </w:p>
          <w:p w14:paraId="0CC5FBE3">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（1）ISO9001质量管理体系认证证书</w:t>
            </w:r>
          </w:p>
          <w:p w14:paraId="689B88E6">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（2）GB/T22080-2016</w:t>
            </w:r>
            <w:r>
              <w:rPr>
                <w:rFonts w:hint="eastAsia" w:ascii="宋体" w:hAnsi="宋体" w:eastAsia="宋体" w:cs="宋体"/>
                <w:color w:val="auto"/>
                <w:sz w:val="18"/>
                <w:szCs w:val="18"/>
                <w:highlight w:val="none"/>
                <w:lang w:eastAsia="zh-Hans"/>
              </w:rPr>
              <w:t>或</w:t>
            </w:r>
            <w:r>
              <w:rPr>
                <w:rFonts w:hint="eastAsia" w:ascii="宋体" w:hAnsi="宋体" w:eastAsia="宋体" w:cs="宋体"/>
                <w:color w:val="auto"/>
                <w:sz w:val="18"/>
                <w:szCs w:val="18"/>
                <w:highlight w:val="none"/>
              </w:rPr>
              <w:t>ISO/IEC27001信息安全管理体系认证证书</w:t>
            </w:r>
          </w:p>
          <w:p w14:paraId="75E8256B">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（3）信息技术服务运行维护标准符合性证书（ITSS三级</w:t>
            </w:r>
            <w:r>
              <w:rPr>
                <w:rFonts w:hint="eastAsia" w:ascii="宋体" w:hAnsi="宋体" w:eastAsia="宋体" w:cs="宋体"/>
                <w:color w:val="auto"/>
                <w:sz w:val="18"/>
                <w:szCs w:val="18"/>
                <w:highlight w:val="none"/>
                <w:lang w:eastAsia="zh-Hans"/>
              </w:rPr>
              <w:t>及以上</w:t>
            </w:r>
            <w:r>
              <w:rPr>
                <w:rFonts w:hint="eastAsia" w:ascii="宋体" w:hAnsi="宋体" w:eastAsia="宋体" w:cs="宋体"/>
                <w:color w:val="auto"/>
                <w:sz w:val="18"/>
                <w:szCs w:val="18"/>
                <w:highlight w:val="none"/>
              </w:rPr>
              <w:t>）；</w:t>
            </w:r>
          </w:p>
          <w:p w14:paraId="79AFCFDA">
            <w:pPr>
              <w:pStyle w:val="14"/>
              <w:spacing w:line="240" w:lineRule="auto"/>
              <w:ind w:firstLine="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4、投标人所投智慧停车管理平台通过等级保护测评三级及以上认证的得3分，等级保护测评二级认证的得1分，其他不得分。</w:t>
            </w:r>
          </w:p>
          <w:p w14:paraId="43B672B1">
            <w:pPr>
              <w:numPr>
                <w:ilvl w:val="-1"/>
                <w:numId w:val="0"/>
              </w:numPr>
              <w:snapToGrid w:val="0"/>
              <w:jc w:val="left"/>
              <w:rPr>
                <w:rFonts w:hint="eastAsia" w:ascii="宋体" w:hAnsi="宋体" w:eastAsia="宋体" w:cs="宋体"/>
                <w:color w:val="auto"/>
                <w:sz w:val="18"/>
                <w:szCs w:val="18"/>
                <w:highlight w:val="none"/>
              </w:rPr>
            </w:pPr>
            <w:r>
              <w:rPr>
                <w:rFonts w:hint="eastAsia" w:ascii="宋体" w:hAnsi="宋体" w:cs="宋体"/>
                <w:color w:val="auto"/>
                <w:sz w:val="18"/>
                <w:szCs w:val="18"/>
                <w:highlight w:val="none"/>
                <w:lang w:val="en-US" w:eastAsia="zh-CN"/>
              </w:rPr>
              <w:t>5、</w:t>
            </w:r>
            <w:r>
              <w:rPr>
                <w:rFonts w:hint="eastAsia" w:ascii="宋体" w:hAnsi="宋体" w:eastAsia="宋体" w:cs="宋体"/>
                <w:color w:val="auto"/>
                <w:sz w:val="18"/>
                <w:szCs w:val="18"/>
                <w:highlight w:val="none"/>
              </w:rPr>
              <w:t>投标人具有行业行政主管部门核发的电子与智能化工程专业承包二级及以上资质的得</w:t>
            </w:r>
            <w:r>
              <w:rPr>
                <w:rFonts w:hint="eastAsia" w:ascii="宋体" w:hAnsi="宋体" w:cs="宋体"/>
                <w:color w:val="auto"/>
                <w:sz w:val="18"/>
                <w:szCs w:val="18"/>
                <w:highlight w:val="none"/>
                <w:lang w:val="en-US" w:eastAsia="zh-CN"/>
              </w:rPr>
              <w:t>2</w:t>
            </w:r>
            <w:r>
              <w:rPr>
                <w:rFonts w:hint="eastAsia" w:ascii="宋体" w:hAnsi="宋体" w:eastAsia="宋体" w:cs="宋体"/>
                <w:color w:val="auto"/>
                <w:sz w:val="18"/>
                <w:szCs w:val="18"/>
                <w:highlight w:val="none"/>
              </w:rPr>
              <w:t>分。</w:t>
            </w:r>
          </w:p>
          <w:p w14:paraId="44C25931">
            <w:pPr>
              <w:pStyle w:val="14"/>
              <w:numPr>
                <w:ilvl w:val="-1"/>
                <w:numId w:val="0"/>
              </w:numPr>
              <w:spacing w:line="240" w:lineRule="auto"/>
              <w:ind w:firstLine="0"/>
              <w:jc w:val="left"/>
              <w:rPr>
                <w:rFonts w:hint="eastAsia" w:ascii="宋体" w:hAnsi="宋体" w:eastAsia="宋体" w:cs="宋体"/>
                <w:color w:val="auto"/>
                <w:sz w:val="18"/>
                <w:szCs w:val="18"/>
                <w:highlight w:val="none"/>
              </w:rPr>
            </w:pPr>
            <w:r>
              <w:rPr>
                <w:rFonts w:hint="eastAsia" w:eastAsia="宋体" w:cs="宋体"/>
                <w:color w:val="auto"/>
                <w:sz w:val="18"/>
                <w:szCs w:val="18"/>
                <w:highlight w:val="none"/>
                <w:lang w:val="en-US" w:eastAsia="zh-CN"/>
              </w:rPr>
              <w:t>6、</w:t>
            </w:r>
            <w:r>
              <w:rPr>
                <w:rFonts w:hint="eastAsia" w:ascii="宋体" w:hAnsi="宋体" w:eastAsia="宋体" w:cs="宋体"/>
                <w:color w:val="auto"/>
                <w:sz w:val="18"/>
                <w:szCs w:val="18"/>
                <w:highlight w:val="none"/>
              </w:rPr>
              <w:t>投标人提供的主要设备（车牌识别设备、智能道闸、智能终端、摄像头）厂商与投标人主体一致每满足1项得</w:t>
            </w:r>
            <w:r>
              <w:rPr>
                <w:rFonts w:hint="eastAsia" w:eastAsia="宋体" w:cs="宋体"/>
                <w:color w:val="auto"/>
                <w:sz w:val="18"/>
                <w:szCs w:val="18"/>
                <w:highlight w:val="none"/>
                <w:lang w:val="en-US" w:eastAsia="zh-CN"/>
              </w:rPr>
              <w:t>1.5</w:t>
            </w:r>
            <w:r>
              <w:rPr>
                <w:rFonts w:hint="eastAsia" w:ascii="宋体" w:hAnsi="宋体" w:eastAsia="宋体" w:cs="宋体"/>
                <w:color w:val="auto"/>
                <w:sz w:val="18"/>
                <w:szCs w:val="18"/>
                <w:highlight w:val="none"/>
              </w:rPr>
              <w:t>分，最高得</w:t>
            </w:r>
            <w:r>
              <w:rPr>
                <w:rFonts w:hint="eastAsia" w:eastAsia="宋体" w:cs="宋体"/>
                <w:color w:val="auto"/>
                <w:sz w:val="18"/>
                <w:szCs w:val="18"/>
                <w:highlight w:val="none"/>
                <w:lang w:val="en-US" w:eastAsia="zh-CN"/>
              </w:rPr>
              <w:t>6</w:t>
            </w:r>
            <w:r>
              <w:rPr>
                <w:rFonts w:hint="eastAsia" w:ascii="宋体" w:hAnsi="宋体" w:eastAsia="宋体" w:cs="宋体"/>
                <w:color w:val="auto"/>
                <w:sz w:val="18"/>
                <w:szCs w:val="18"/>
                <w:highlight w:val="none"/>
              </w:rPr>
              <w:t>分；</w:t>
            </w:r>
          </w:p>
          <w:p w14:paraId="02503456">
            <w:pPr>
              <w:pStyle w:val="14"/>
              <w:numPr>
                <w:ilvl w:val="-1"/>
                <w:numId w:val="0"/>
              </w:numPr>
              <w:spacing w:line="240" w:lineRule="auto"/>
              <w:ind w:firstLine="0"/>
              <w:jc w:val="left"/>
              <w:rPr>
                <w:rFonts w:hint="eastAsia" w:ascii="宋体" w:hAnsi="宋体" w:eastAsia="宋体" w:cs="宋体"/>
                <w:color w:val="auto"/>
                <w:sz w:val="18"/>
                <w:szCs w:val="18"/>
                <w:highlight w:val="none"/>
              </w:rPr>
            </w:pPr>
          </w:p>
        </w:tc>
        <w:tc>
          <w:tcPr>
            <w:tcW w:w="1835" w:type="dxa"/>
            <w:noWrap w:val="0"/>
            <w:vAlign w:val="center"/>
          </w:tcPr>
          <w:p w14:paraId="10D485B3">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相关证书或报告的出具日期应在招标公告发布之日前，否则视为无效。</w:t>
            </w:r>
          </w:p>
        </w:tc>
      </w:tr>
      <w:tr w14:paraId="6078F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584" w:type="dxa"/>
            <w:vMerge w:val="continue"/>
            <w:noWrap w:val="0"/>
            <w:vAlign w:val="center"/>
          </w:tcPr>
          <w:p w14:paraId="1AF222AA">
            <w:pPr>
              <w:snapToGrid w:val="0"/>
              <w:jc w:val="center"/>
              <w:rPr>
                <w:rFonts w:hint="eastAsia" w:ascii="宋体" w:hAnsi="宋体" w:eastAsia="宋体" w:cs="宋体"/>
                <w:color w:val="auto"/>
                <w:sz w:val="18"/>
                <w:szCs w:val="18"/>
                <w:highlight w:val="none"/>
              </w:rPr>
            </w:pPr>
          </w:p>
        </w:tc>
        <w:tc>
          <w:tcPr>
            <w:tcW w:w="1159" w:type="dxa"/>
            <w:vMerge w:val="continue"/>
            <w:noWrap w:val="0"/>
            <w:vAlign w:val="center"/>
          </w:tcPr>
          <w:p w14:paraId="37421AFD">
            <w:pPr>
              <w:snapToGrid w:val="0"/>
              <w:jc w:val="center"/>
              <w:rPr>
                <w:rFonts w:hint="eastAsia" w:ascii="宋体" w:hAnsi="宋体" w:eastAsia="宋体" w:cs="宋体"/>
                <w:color w:val="auto"/>
                <w:sz w:val="18"/>
                <w:szCs w:val="18"/>
                <w:highlight w:val="none"/>
              </w:rPr>
            </w:pPr>
          </w:p>
        </w:tc>
        <w:tc>
          <w:tcPr>
            <w:tcW w:w="1356" w:type="dxa"/>
            <w:noWrap w:val="0"/>
            <w:vAlign w:val="center"/>
          </w:tcPr>
          <w:p w14:paraId="79423D04">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业绩</w:t>
            </w:r>
          </w:p>
          <w:p w14:paraId="541330D2">
            <w:pPr>
              <w:snapToGrid w:val="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（6分）</w:t>
            </w:r>
          </w:p>
        </w:tc>
        <w:tc>
          <w:tcPr>
            <w:tcW w:w="4582" w:type="dxa"/>
            <w:noWrap w:val="0"/>
            <w:vAlign w:val="top"/>
          </w:tcPr>
          <w:p w14:paraId="5579FB12">
            <w:pPr>
              <w:adjustRightInd/>
              <w:snapToGrid w:val="0"/>
              <w:spacing w:line="240" w:lineRule="auto"/>
              <w:jc w:val="left"/>
              <w:rPr>
                <w:rFonts w:hint="eastAsia" w:ascii="宋体" w:hAnsi="宋体" w:eastAsia="宋体" w:cs="宋体"/>
                <w:color w:val="auto"/>
                <w:sz w:val="18"/>
                <w:szCs w:val="18"/>
                <w:highlight w:val="none"/>
              </w:rPr>
            </w:pPr>
          </w:p>
          <w:p w14:paraId="0DEB502E">
            <w:pPr>
              <w:snapToGrid w:val="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投标人</w:t>
            </w:r>
            <w:r>
              <w:rPr>
                <w:rFonts w:hint="eastAsia" w:ascii="宋体" w:hAnsi="宋体" w:cs="宋体"/>
                <w:color w:val="auto"/>
                <w:sz w:val="18"/>
                <w:szCs w:val="18"/>
                <w:highlight w:val="none"/>
              </w:rPr>
              <w:t>近五年有为重庆市国有企业或政府部门提供服务的业绩；</w:t>
            </w:r>
            <w:r>
              <w:rPr>
                <w:rFonts w:hint="eastAsia" w:ascii="宋体" w:hAnsi="宋体" w:cs="宋体"/>
                <w:color w:val="auto"/>
                <w:sz w:val="18"/>
                <w:szCs w:val="18"/>
                <w:highlight w:val="none"/>
                <w:lang w:val="en-US" w:eastAsia="zh-CN"/>
              </w:rPr>
              <w:t>1个得2分，最高得6分</w:t>
            </w:r>
            <w:r>
              <w:rPr>
                <w:rFonts w:hint="eastAsia" w:ascii="宋体" w:hAnsi="宋体" w:eastAsia="宋体" w:cs="宋体"/>
                <w:color w:val="auto"/>
                <w:sz w:val="18"/>
                <w:szCs w:val="18"/>
                <w:highlight w:val="none"/>
                <w:lang w:val="en-US" w:eastAsia="zh-CN"/>
              </w:rPr>
              <w:t>（</w:t>
            </w:r>
            <w:r>
              <w:rPr>
                <w:rFonts w:hint="eastAsia" w:ascii="宋体" w:hAnsi="宋体" w:cs="宋体"/>
                <w:color w:val="auto"/>
                <w:sz w:val="18"/>
                <w:szCs w:val="18"/>
                <w:highlight w:val="none"/>
                <w:lang w:val="en-US" w:eastAsia="zh-CN"/>
              </w:rPr>
              <w:t>合同</w:t>
            </w:r>
            <w:r>
              <w:rPr>
                <w:rFonts w:hint="eastAsia" w:ascii="宋体" w:hAnsi="宋体" w:eastAsia="宋体" w:cs="宋体"/>
                <w:color w:val="auto"/>
                <w:sz w:val="18"/>
                <w:szCs w:val="18"/>
                <w:highlight w:val="none"/>
                <w:lang w:val="en-US" w:eastAsia="zh-CN"/>
              </w:rPr>
              <w:t>证明页）</w:t>
            </w:r>
            <w:r>
              <w:rPr>
                <w:rFonts w:hint="eastAsia" w:ascii="宋体" w:hAnsi="宋体" w:cs="宋体"/>
                <w:color w:val="auto"/>
                <w:sz w:val="18"/>
                <w:szCs w:val="18"/>
                <w:highlight w:val="none"/>
                <w:lang w:val="en-US" w:eastAsia="zh-CN"/>
              </w:rPr>
              <w:t>。</w:t>
            </w:r>
          </w:p>
        </w:tc>
        <w:tc>
          <w:tcPr>
            <w:tcW w:w="1835" w:type="dxa"/>
            <w:noWrap w:val="0"/>
            <w:vAlign w:val="center"/>
          </w:tcPr>
          <w:p w14:paraId="44504C1A">
            <w:pPr>
              <w:snapToGrid w:val="0"/>
              <w:jc w:val="center"/>
              <w:rPr>
                <w:rFonts w:hint="eastAsia" w:ascii="宋体" w:hAnsi="宋体" w:eastAsia="宋体" w:cs="宋体"/>
                <w:color w:val="auto"/>
                <w:sz w:val="18"/>
                <w:szCs w:val="18"/>
                <w:highlight w:val="none"/>
              </w:rPr>
            </w:pPr>
          </w:p>
        </w:tc>
      </w:tr>
      <w:tr w14:paraId="587A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584" w:type="dxa"/>
            <w:vMerge w:val="continue"/>
            <w:noWrap w:val="0"/>
            <w:vAlign w:val="center"/>
          </w:tcPr>
          <w:p w14:paraId="04EDF13C">
            <w:pPr>
              <w:snapToGrid w:val="0"/>
              <w:jc w:val="center"/>
              <w:rPr>
                <w:rFonts w:hint="eastAsia" w:ascii="宋体" w:hAnsi="宋体" w:eastAsia="宋体" w:cs="宋体"/>
                <w:color w:val="auto"/>
                <w:sz w:val="18"/>
                <w:szCs w:val="18"/>
                <w:highlight w:val="none"/>
              </w:rPr>
            </w:pPr>
          </w:p>
        </w:tc>
        <w:tc>
          <w:tcPr>
            <w:tcW w:w="1159" w:type="dxa"/>
            <w:vMerge w:val="continue"/>
            <w:noWrap w:val="0"/>
            <w:vAlign w:val="center"/>
          </w:tcPr>
          <w:p w14:paraId="4AAC737C">
            <w:pPr>
              <w:snapToGrid w:val="0"/>
              <w:jc w:val="center"/>
              <w:rPr>
                <w:rFonts w:hint="eastAsia" w:ascii="宋体" w:hAnsi="宋体" w:eastAsia="宋体" w:cs="宋体"/>
                <w:color w:val="auto"/>
                <w:sz w:val="18"/>
                <w:szCs w:val="18"/>
                <w:highlight w:val="none"/>
              </w:rPr>
            </w:pPr>
          </w:p>
        </w:tc>
        <w:tc>
          <w:tcPr>
            <w:tcW w:w="1356" w:type="dxa"/>
            <w:noWrap w:val="0"/>
            <w:vAlign w:val="center"/>
          </w:tcPr>
          <w:p w14:paraId="59BB5BE3">
            <w:pPr>
              <w:snapToGrid w:val="0"/>
              <w:jc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付款条件</w:t>
            </w:r>
          </w:p>
          <w:p w14:paraId="250CC429">
            <w:pPr>
              <w:snapToGrid w:val="0"/>
              <w:jc w:val="center"/>
              <w:rPr>
                <w:rFonts w:hint="default"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（4分）</w:t>
            </w:r>
          </w:p>
        </w:tc>
        <w:tc>
          <w:tcPr>
            <w:tcW w:w="4582" w:type="dxa"/>
            <w:noWrap w:val="0"/>
            <w:vAlign w:val="top"/>
          </w:tcPr>
          <w:p w14:paraId="6BADD9C4">
            <w:pPr>
              <w:snapToGrid w:val="0"/>
              <w:jc w:val="left"/>
              <w:rPr>
                <w:rFonts w:hint="eastAsia" w:ascii="宋体" w:hAnsi="宋体" w:eastAsia="宋体" w:cs="宋体"/>
                <w:color w:val="auto"/>
                <w:sz w:val="18"/>
                <w:szCs w:val="18"/>
                <w:highlight w:val="none"/>
                <w:lang w:val="en-US" w:eastAsia="zh-CN"/>
              </w:rPr>
            </w:pPr>
          </w:p>
          <w:p w14:paraId="41C2A293">
            <w:pPr>
              <w:snapToGrid w:val="0"/>
              <w:jc w:val="left"/>
              <w:rPr>
                <w:rFonts w:hint="eastAsia"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投标人同意本次</w:t>
            </w:r>
            <w:r>
              <w:rPr>
                <w:rFonts w:hint="eastAsia" w:ascii="宋体" w:hAnsi="宋体" w:eastAsia="宋体" w:cs="宋体"/>
                <w:color w:val="auto"/>
                <w:sz w:val="18"/>
                <w:szCs w:val="18"/>
                <w:highlight w:val="none"/>
              </w:rPr>
              <w:t>车库道闸服务</w:t>
            </w:r>
            <w:r>
              <w:rPr>
                <w:rFonts w:hint="eastAsia" w:ascii="宋体" w:hAnsi="宋体" w:eastAsia="宋体" w:cs="宋体"/>
                <w:color w:val="auto"/>
                <w:sz w:val="18"/>
                <w:szCs w:val="18"/>
                <w:highlight w:val="none"/>
                <w:lang w:eastAsia="zh-CN"/>
              </w:rPr>
              <w:t>，</w:t>
            </w:r>
            <w:r>
              <w:rPr>
                <w:rFonts w:hint="eastAsia" w:ascii="宋体" w:hAnsi="宋体" w:eastAsia="宋体" w:cs="宋体"/>
                <w:color w:val="auto"/>
                <w:sz w:val="18"/>
                <w:szCs w:val="18"/>
                <w:highlight w:val="none"/>
                <w:lang w:val="en-US" w:eastAsia="zh-CN"/>
              </w:rPr>
              <w:t>后续在季度支付服务费的方式上，可以采取车位停车费进行抵扣，具体以双方协议另行约定，同意可得4分。</w:t>
            </w:r>
          </w:p>
          <w:p w14:paraId="2E4DC093">
            <w:pPr>
              <w:snapToGrid w:val="0"/>
              <w:jc w:val="left"/>
              <w:rPr>
                <w:rFonts w:hint="default" w:ascii="宋体" w:hAnsi="宋体" w:cs="宋体"/>
                <w:color w:val="auto"/>
                <w:sz w:val="18"/>
                <w:szCs w:val="18"/>
                <w:highlight w:val="none"/>
                <w:lang w:val="en-US" w:eastAsia="zh-CN"/>
              </w:rPr>
            </w:pPr>
          </w:p>
        </w:tc>
        <w:tc>
          <w:tcPr>
            <w:tcW w:w="1835" w:type="dxa"/>
            <w:noWrap w:val="0"/>
            <w:vAlign w:val="center"/>
          </w:tcPr>
          <w:p w14:paraId="008D3753">
            <w:pPr>
              <w:snapToGrid w:val="0"/>
              <w:jc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rPr>
              <w:t>须提供同意的相关（用印）函件</w:t>
            </w:r>
          </w:p>
        </w:tc>
      </w:tr>
    </w:tbl>
    <w:p w14:paraId="28F28F0F">
      <w:pPr>
        <w:pStyle w:val="6"/>
        <w:rPr>
          <w:rFonts w:ascii="宋体" w:hAnsi="宋体"/>
          <w:b/>
          <w:color w:val="auto"/>
          <w:sz w:val="36"/>
          <w:szCs w:val="36"/>
          <w:highlight w:val="none"/>
        </w:rPr>
      </w:pPr>
    </w:p>
    <w:p w14:paraId="7B4C533D">
      <w:pPr>
        <w:rPr>
          <w:rFonts w:ascii="宋体" w:hAnsi="宋体"/>
          <w:b/>
          <w:color w:val="auto"/>
          <w:sz w:val="36"/>
          <w:szCs w:val="36"/>
          <w:highlight w:val="none"/>
        </w:rPr>
      </w:pPr>
      <w:r>
        <w:rPr>
          <w:rFonts w:ascii="宋体" w:hAnsi="宋体"/>
          <w:b/>
          <w:sz w:val="36"/>
          <w:szCs w:val="36"/>
          <w:highlight w:val="none"/>
        </w:rPr>
        <w:br w:type="page"/>
      </w:r>
    </w:p>
    <w:p w14:paraId="2AC44F37">
      <w:pPr>
        <w:widowControl/>
        <w:numPr>
          <w:ilvl w:val="0"/>
          <w:numId w:val="2"/>
        </w:numPr>
        <w:jc w:val="center"/>
        <w:rPr>
          <w:rFonts w:ascii="宋体" w:hAnsi="宋体"/>
          <w:b/>
          <w:color w:val="auto"/>
          <w:sz w:val="36"/>
          <w:szCs w:val="36"/>
          <w:highlight w:val="none"/>
        </w:rPr>
      </w:pPr>
      <w:r>
        <w:rPr>
          <w:rFonts w:hint="eastAsia" w:ascii="宋体" w:hAnsi="宋体"/>
          <w:b/>
          <w:color w:val="auto"/>
          <w:sz w:val="36"/>
          <w:szCs w:val="36"/>
          <w:highlight w:val="none"/>
        </w:rPr>
        <w:t>比选申请</w:t>
      </w:r>
      <w:r>
        <w:rPr>
          <w:rFonts w:ascii="宋体" w:hAnsi="宋体"/>
          <w:b/>
          <w:color w:val="auto"/>
          <w:sz w:val="36"/>
          <w:szCs w:val="36"/>
          <w:highlight w:val="none"/>
        </w:rPr>
        <w:t>文件格式</w:t>
      </w:r>
      <w:bookmarkEnd w:id="36"/>
    </w:p>
    <w:p w14:paraId="6B3F787C">
      <w:pPr>
        <w:pStyle w:val="6"/>
        <w:numPr>
          <w:ilvl w:val="255"/>
          <w:numId w:val="0"/>
        </w:numPr>
        <w:rPr>
          <w:highlight w:val="none"/>
        </w:rPr>
      </w:pPr>
    </w:p>
    <w:p w14:paraId="287DF807">
      <w:pPr>
        <w:pStyle w:val="6"/>
        <w:numPr>
          <w:ilvl w:val="255"/>
          <w:numId w:val="0"/>
        </w:numPr>
        <w:rPr>
          <w:highlight w:val="none"/>
        </w:rPr>
      </w:pPr>
    </w:p>
    <w:p w14:paraId="6808ACB7">
      <w:pPr>
        <w:tabs>
          <w:tab w:val="left" w:pos="7040"/>
        </w:tabs>
        <w:autoSpaceDE w:val="0"/>
        <w:autoSpaceDN w:val="0"/>
        <w:adjustRightInd w:val="0"/>
        <w:snapToGrid w:val="0"/>
        <w:spacing w:line="360" w:lineRule="auto"/>
        <w:ind w:firstLine="298" w:firstLineChars="100"/>
        <w:jc w:val="center"/>
        <w:rPr>
          <w:rFonts w:hint="eastAsia" w:ascii="宋体" w:hAnsi="宋体" w:eastAsia="宋体"/>
          <w:b/>
          <w:color w:val="auto"/>
          <w:w w:val="99"/>
          <w:sz w:val="30"/>
          <w:szCs w:val="30"/>
          <w:highlight w:val="none"/>
          <w:u w:val="single"/>
          <w:lang w:eastAsia="zh-CN"/>
        </w:rPr>
      </w:pPr>
      <w:bookmarkStart w:id="37" w:name="_Toc56139088"/>
      <w:bookmarkStart w:id="38" w:name="_Toc291666828"/>
      <w:bookmarkStart w:id="39" w:name="_Toc54372655"/>
      <w:bookmarkStart w:id="40" w:name="_Toc55639393"/>
      <w:bookmarkStart w:id="41" w:name="_Toc245008846"/>
      <w:bookmarkStart w:id="42" w:name="_Toc55707673"/>
      <w:bookmarkStart w:id="43" w:name="_Toc56153862"/>
      <w:bookmarkStart w:id="44" w:name="_Toc245003811"/>
      <w:bookmarkStart w:id="45" w:name="_Toc245004312"/>
      <w:bookmarkStart w:id="46" w:name="_Toc54372071"/>
      <w:bookmarkStart w:id="47" w:name="_Toc56141898"/>
      <w:bookmarkStart w:id="48" w:name="_Toc59896715"/>
      <w:bookmarkStart w:id="49" w:name="_Toc56409114"/>
      <w:bookmarkStart w:id="50" w:name="_Toc54372237"/>
      <w:bookmarkStart w:id="51" w:name="_Toc59900983"/>
      <w:bookmarkStart w:id="52" w:name="_Toc183683856"/>
      <w:bookmarkStart w:id="53" w:name="_Toc55705168"/>
      <w:bookmarkStart w:id="54" w:name="_Toc232827081"/>
      <w:bookmarkStart w:id="55" w:name="_Toc245001127"/>
      <w:bookmarkStart w:id="56" w:name="_Toc245003907"/>
      <w:bookmarkStart w:id="57" w:name="_Toc55654540"/>
      <w:bookmarkStart w:id="58" w:name="_Toc224103510"/>
      <w:r>
        <w:rPr>
          <w:rFonts w:hint="eastAsia" w:ascii="宋体" w:hAnsi="宋体"/>
          <w:b/>
          <w:color w:val="auto"/>
          <w:w w:val="99"/>
          <w:sz w:val="30"/>
          <w:szCs w:val="30"/>
          <w:highlight w:val="none"/>
          <w:u w:val="single"/>
          <w:lang w:eastAsia="zh-CN"/>
        </w:rPr>
        <w:t>中国四联仪器仪表集团有限公司重庆分公司</w:t>
      </w:r>
    </w:p>
    <w:p w14:paraId="6845D11E">
      <w:pPr>
        <w:tabs>
          <w:tab w:val="left" w:pos="7040"/>
        </w:tabs>
        <w:autoSpaceDE w:val="0"/>
        <w:autoSpaceDN w:val="0"/>
        <w:adjustRightInd w:val="0"/>
        <w:snapToGrid w:val="0"/>
        <w:spacing w:line="360" w:lineRule="auto"/>
        <w:ind w:firstLine="298" w:firstLineChars="100"/>
        <w:jc w:val="center"/>
        <w:rPr>
          <w:rFonts w:hint="eastAsia" w:ascii="宋体" w:hAnsi="宋体" w:eastAsia="宋体"/>
          <w:b/>
          <w:color w:val="auto"/>
          <w:sz w:val="30"/>
          <w:szCs w:val="30"/>
          <w:highlight w:val="none"/>
          <w:lang w:eastAsia="zh-CN"/>
        </w:rPr>
      </w:pPr>
      <w:r>
        <w:rPr>
          <w:rFonts w:hint="eastAsia" w:ascii="宋体" w:hAnsi="宋体"/>
          <w:b/>
          <w:color w:val="auto"/>
          <w:w w:val="99"/>
          <w:sz w:val="30"/>
          <w:szCs w:val="30"/>
          <w:highlight w:val="none"/>
          <w:u w:val="single"/>
          <w:lang w:eastAsia="zh-CN"/>
        </w:rPr>
        <w:t>渝中区筷子街2号车库道闸服务采购</w:t>
      </w:r>
    </w:p>
    <w:p w14:paraId="06FF9B0A">
      <w:pPr>
        <w:tabs>
          <w:tab w:val="left" w:pos="3600"/>
          <w:tab w:val="left" w:pos="4480"/>
          <w:tab w:val="left" w:pos="5360"/>
        </w:tabs>
        <w:autoSpaceDE w:val="0"/>
        <w:autoSpaceDN w:val="0"/>
        <w:adjustRightInd w:val="0"/>
        <w:snapToGrid w:val="0"/>
        <w:spacing w:line="360" w:lineRule="auto"/>
        <w:rPr>
          <w:rFonts w:ascii="宋体" w:hAnsi="宋体"/>
          <w:color w:val="auto"/>
          <w:sz w:val="44"/>
          <w:szCs w:val="44"/>
          <w:highlight w:val="none"/>
        </w:rPr>
      </w:pPr>
      <w:r>
        <w:rPr>
          <w:rFonts w:ascii="宋体" w:hAnsi="宋体"/>
          <w:color w:val="auto"/>
          <w:sz w:val="44"/>
          <w:szCs w:val="44"/>
          <w:highlight w:val="none"/>
        </w:rPr>
        <w:t xml:space="preserve">          </w:t>
      </w:r>
    </w:p>
    <w:p w14:paraId="652E2A6D">
      <w:pPr>
        <w:tabs>
          <w:tab w:val="left" w:pos="3600"/>
          <w:tab w:val="left" w:pos="4480"/>
          <w:tab w:val="left" w:pos="5360"/>
        </w:tabs>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xml:space="preserve"> </w:t>
      </w:r>
      <w:r>
        <w:rPr>
          <w:rFonts w:hint="eastAsia" w:ascii="宋体" w:hAnsi="宋体"/>
          <w:b/>
          <w:color w:val="auto"/>
          <w:sz w:val="84"/>
          <w:szCs w:val="84"/>
          <w:highlight w:val="none"/>
        </w:rPr>
        <w:t>申</w:t>
      </w:r>
      <w:r>
        <w:rPr>
          <w:rFonts w:ascii="宋体" w:hAnsi="宋体"/>
          <w:b/>
          <w:color w:val="auto"/>
          <w:sz w:val="84"/>
          <w:szCs w:val="84"/>
          <w:highlight w:val="none"/>
        </w:rPr>
        <w:t xml:space="preserve"> </w:t>
      </w:r>
      <w:r>
        <w:rPr>
          <w:rFonts w:hint="eastAsia" w:ascii="宋体" w:hAnsi="宋体"/>
          <w:b/>
          <w:color w:val="auto"/>
          <w:sz w:val="84"/>
          <w:szCs w:val="84"/>
          <w:highlight w:val="none"/>
        </w:rPr>
        <w:t>请</w:t>
      </w:r>
      <w:r>
        <w:rPr>
          <w:rFonts w:ascii="宋体" w:hAnsi="宋体"/>
          <w:b/>
          <w:color w:val="auto"/>
          <w:sz w:val="84"/>
          <w:szCs w:val="84"/>
          <w:highlight w:val="none"/>
        </w:rPr>
        <w:t xml:space="preserve"> 文  件</w:t>
      </w:r>
    </w:p>
    <w:p w14:paraId="52F1A7EE">
      <w:pPr>
        <w:autoSpaceDE w:val="0"/>
        <w:autoSpaceDN w:val="0"/>
        <w:adjustRightInd w:val="0"/>
        <w:snapToGrid w:val="0"/>
        <w:spacing w:line="360" w:lineRule="auto"/>
        <w:rPr>
          <w:rFonts w:ascii="宋体" w:hAnsi="宋体"/>
          <w:color w:val="auto"/>
          <w:sz w:val="16"/>
          <w:szCs w:val="16"/>
          <w:highlight w:val="none"/>
        </w:rPr>
      </w:pPr>
    </w:p>
    <w:p w14:paraId="03CCE0E1">
      <w:pPr>
        <w:autoSpaceDE w:val="0"/>
        <w:autoSpaceDN w:val="0"/>
        <w:adjustRightInd w:val="0"/>
        <w:snapToGrid w:val="0"/>
        <w:spacing w:line="360" w:lineRule="auto"/>
        <w:rPr>
          <w:rFonts w:ascii="宋体" w:hAnsi="宋体"/>
          <w:color w:val="auto"/>
          <w:highlight w:val="none"/>
        </w:rPr>
      </w:pPr>
    </w:p>
    <w:p w14:paraId="7B7D32AF">
      <w:pPr>
        <w:adjustRightInd w:val="0"/>
        <w:snapToGrid w:val="0"/>
        <w:spacing w:line="264" w:lineRule="auto"/>
        <w:ind w:firstLine="630" w:firstLineChars="300"/>
        <w:rPr>
          <w:rFonts w:ascii="宋体" w:hAnsi="宋体"/>
          <w:color w:val="auto"/>
          <w:szCs w:val="21"/>
          <w:highlight w:val="none"/>
        </w:rPr>
      </w:pPr>
    </w:p>
    <w:p w14:paraId="24639697">
      <w:pPr>
        <w:autoSpaceDE w:val="0"/>
        <w:autoSpaceDN w:val="0"/>
        <w:adjustRightInd w:val="0"/>
        <w:snapToGrid w:val="0"/>
        <w:spacing w:line="360" w:lineRule="auto"/>
        <w:rPr>
          <w:rFonts w:ascii="宋体" w:hAnsi="宋体"/>
          <w:color w:val="auto"/>
          <w:highlight w:val="none"/>
        </w:rPr>
      </w:pPr>
    </w:p>
    <w:p w14:paraId="2D668DD7">
      <w:pPr>
        <w:autoSpaceDE w:val="0"/>
        <w:autoSpaceDN w:val="0"/>
        <w:adjustRightInd w:val="0"/>
        <w:snapToGrid w:val="0"/>
        <w:spacing w:line="360" w:lineRule="auto"/>
        <w:rPr>
          <w:rFonts w:ascii="宋体" w:hAnsi="宋体"/>
          <w:color w:val="auto"/>
          <w:highlight w:val="none"/>
        </w:rPr>
      </w:pPr>
    </w:p>
    <w:p w14:paraId="52D6D0B0">
      <w:pPr>
        <w:autoSpaceDE w:val="0"/>
        <w:autoSpaceDN w:val="0"/>
        <w:adjustRightInd w:val="0"/>
        <w:snapToGrid w:val="0"/>
        <w:spacing w:line="360" w:lineRule="auto"/>
        <w:rPr>
          <w:rFonts w:ascii="宋体" w:hAnsi="宋体"/>
          <w:color w:val="auto"/>
          <w:highlight w:val="none"/>
        </w:rPr>
      </w:pPr>
    </w:p>
    <w:p w14:paraId="6955E5E2">
      <w:pPr>
        <w:autoSpaceDE w:val="0"/>
        <w:autoSpaceDN w:val="0"/>
        <w:adjustRightInd w:val="0"/>
        <w:snapToGrid w:val="0"/>
        <w:spacing w:line="360" w:lineRule="auto"/>
        <w:rPr>
          <w:rFonts w:ascii="宋体" w:hAnsi="宋体"/>
          <w:color w:val="auto"/>
          <w:highlight w:val="none"/>
        </w:rPr>
      </w:pPr>
    </w:p>
    <w:p w14:paraId="557A29B8">
      <w:pPr>
        <w:autoSpaceDE w:val="0"/>
        <w:autoSpaceDN w:val="0"/>
        <w:adjustRightInd w:val="0"/>
        <w:snapToGrid w:val="0"/>
        <w:spacing w:line="360" w:lineRule="auto"/>
        <w:rPr>
          <w:rFonts w:ascii="宋体" w:hAnsi="宋体"/>
          <w:color w:val="auto"/>
          <w:highlight w:val="none"/>
        </w:rPr>
      </w:pPr>
    </w:p>
    <w:p w14:paraId="507A928D">
      <w:pPr>
        <w:autoSpaceDE w:val="0"/>
        <w:autoSpaceDN w:val="0"/>
        <w:adjustRightInd w:val="0"/>
        <w:snapToGrid w:val="0"/>
        <w:spacing w:line="360" w:lineRule="auto"/>
        <w:rPr>
          <w:rFonts w:ascii="宋体" w:hAnsi="宋体"/>
          <w:color w:val="auto"/>
          <w:highlight w:val="none"/>
        </w:rPr>
      </w:pPr>
    </w:p>
    <w:p w14:paraId="0AFA003A">
      <w:pPr>
        <w:autoSpaceDE w:val="0"/>
        <w:autoSpaceDN w:val="0"/>
        <w:adjustRightInd w:val="0"/>
        <w:snapToGrid w:val="0"/>
        <w:spacing w:line="360" w:lineRule="auto"/>
        <w:rPr>
          <w:rFonts w:ascii="宋体" w:hAnsi="宋体"/>
          <w:color w:val="auto"/>
          <w:highlight w:val="none"/>
        </w:rPr>
      </w:pPr>
    </w:p>
    <w:p w14:paraId="0F0DBACD">
      <w:pPr>
        <w:autoSpaceDE w:val="0"/>
        <w:autoSpaceDN w:val="0"/>
        <w:adjustRightInd w:val="0"/>
        <w:snapToGrid w:val="0"/>
        <w:spacing w:line="360" w:lineRule="auto"/>
        <w:rPr>
          <w:rFonts w:ascii="宋体" w:hAnsi="宋体"/>
          <w:color w:val="auto"/>
          <w:highlight w:val="none"/>
        </w:rPr>
      </w:pPr>
    </w:p>
    <w:p w14:paraId="475131F4">
      <w:pPr>
        <w:autoSpaceDE w:val="0"/>
        <w:autoSpaceDN w:val="0"/>
        <w:adjustRightInd w:val="0"/>
        <w:snapToGrid w:val="0"/>
        <w:spacing w:line="360" w:lineRule="auto"/>
        <w:rPr>
          <w:rFonts w:ascii="宋体" w:hAnsi="宋体"/>
          <w:color w:val="auto"/>
          <w:highlight w:val="none"/>
        </w:rPr>
      </w:pPr>
    </w:p>
    <w:p w14:paraId="6D425006">
      <w:pPr>
        <w:autoSpaceDE w:val="0"/>
        <w:autoSpaceDN w:val="0"/>
        <w:adjustRightInd w:val="0"/>
        <w:snapToGrid w:val="0"/>
        <w:spacing w:line="360" w:lineRule="auto"/>
        <w:rPr>
          <w:rFonts w:ascii="宋体" w:hAnsi="宋体"/>
          <w:color w:val="auto"/>
          <w:highlight w:val="none"/>
        </w:rPr>
      </w:pPr>
    </w:p>
    <w:p w14:paraId="504B4241">
      <w:pPr>
        <w:autoSpaceDE w:val="0"/>
        <w:autoSpaceDN w:val="0"/>
        <w:adjustRightInd w:val="0"/>
        <w:snapToGrid w:val="0"/>
        <w:spacing w:line="360" w:lineRule="auto"/>
        <w:rPr>
          <w:rFonts w:ascii="宋体" w:hAnsi="宋体"/>
          <w:color w:val="auto"/>
          <w:highlight w:val="none"/>
        </w:rPr>
      </w:pPr>
    </w:p>
    <w:p w14:paraId="2F1CF827">
      <w:pPr>
        <w:autoSpaceDE w:val="0"/>
        <w:autoSpaceDN w:val="0"/>
        <w:adjustRightInd w:val="0"/>
        <w:snapToGrid w:val="0"/>
        <w:spacing w:line="360" w:lineRule="auto"/>
        <w:rPr>
          <w:rFonts w:ascii="宋体" w:hAnsi="宋体"/>
          <w:color w:val="auto"/>
          <w:highlight w:val="none"/>
        </w:rPr>
      </w:pPr>
    </w:p>
    <w:p w14:paraId="26F821E8">
      <w:pPr>
        <w:autoSpaceDE w:val="0"/>
        <w:autoSpaceDN w:val="0"/>
        <w:adjustRightInd w:val="0"/>
        <w:snapToGrid w:val="0"/>
        <w:spacing w:line="360" w:lineRule="auto"/>
        <w:rPr>
          <w:rFonts w:ascii="宋体" w:hAnsi="宋体"/>
          <w:color w:val="auto"/>
          <w:highlight w:val="none"/>
        </w:rPr>
      </w:pPr>
    </w:p>
    <w:p w14:paraId="0F7FB628">
      <w:pPr>
        <w:tabs>
          <w:tab w:val="left" w:pos="6080"/>
          <w:tab w:val="left" w:pos="6640"/>
        </w:tabs>
        <w:autoSpaceDE w:val="0"/>
        <w:autoSpaceDN w:val="0"/>
        <w:adjustRightInd w:val="0"/>
        <w:snapToGrid w:val="0"/>
        <w:spacing w:line="360" w:lineRule="auto"/>
        <w:jc w:val="center"/>
        <w:rPr>
          <w:rFonts w:ascii="宋体" w:hAnsi="宋体"/>
          <w:b/>
          <w:color w:val="auto"/>
          <w:w w:val="99"/>
          <w:sz w:val="28"/>
          <w:szCs w:val="28"/>
          <w:highlight w:val="none"/>
        </w:rPr>
      </w:pPr>
      <w:r>
        <w:rPr>
          <w:rFonts w:hint="eastAsia" w:ascii="宋体" w:hAnsi="宋体"/>
          <w:b/>
          <w:color w:val="auto"/>
          <w:w w:val="99"/>
          <w:sz w:val="28"/>
          <w:szCs w:val="28"/>
          <w:highlight w:val="none"/>
        </w:rPr>
        <w:t>比选申请方</w:t>
      </w:r>
      <w:r>
        <w:rPr>
          <w:rFonts w:ascii="宋体" w:hAnsi="宋体"/>
          <w:b/>
          <w:color w:val="auto"/>
          <w:spacing w:val="1"/>
          <w:w w:val="99"/>
          <w:sz w:val="28"/>
          <w:szCs w:val="28"/>
          <w:highlight w:val="none"/>
        </w:rPr>
        <w:t>：</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（盖单位公章）</w:t>
      </w:r>
    </w:p>
    <w:p w14:paraId="5CE9CCC6">
      <w:pPr>
        <w:tabs>
          <w:tab w:val="left" w:pos="6080"/>
          <w:tab w:val="left" w:pos="664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rPr>
        <w:t>法定代表人或其委托代理人：</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（签字</w:t>
      </w:r>
      <w:r>
        <w:rPr>
          <w:rFonts w:hint="eastAsia" w:ascii="宋体" w:hAnsi="宋体"/>
          <w:b/>
          <w:color w:val="auto"/>
          <w:w w:val="99"/>
          <w:sz w:val="28"/>
          <w:szCs w:val="28"/>
          <w:highlight w:val="none"/>
        </w:rPr>
        <w:t>或盖章</w:t>
      </w:r>
      <w:r>
        <w:rPr>
          <w:rFonts w:ascii="宋体" w:hAnsi="宋体"/>
          <w:b/>
          <w:color w:val="auto"/>
          <w:w w:val="99"/>
          <w:sz w:val="28"/>
          <w:szCs w:val="28"/>
          <w:highlight w:val="none"/>
        </w:rPr>
        <w:t>）</w:t>
      </w:r>
    </w:p>
    <w:p w14:paraId="625E6A43">
      <w:pPr>
        <w:tabs>
          <w:tab w:val="left" w:pos="3280"/>
          <w:tab w:val="left" w:pos="4680"/>
          <w:tab w:val="left" w:pos="608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u w:val="single"/>
        </w:rPr>
        <w:t xml:space="preserve">       </w:t>
      </w:r>
      <w:r>
        <w:rPr>
          <w:rFonts w:ascii="宋体" w:hAnsi="宋体"/>
          <w:b/>
          <w:color w:val="auto"/>
          <w:w w:val="99"/>
          <w:sz w:val="28"/>
          <w:szCs w:val="28"/>
          <w:highlight w:val="none"/>
        </w:rPr>
        <w:t>年</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月</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日</w:t>
      </w:r>
    </w:p>
    <w:p w14:paraId="2757EDA2">
      <w:pPr>
        <w:pStyle w:val="31"/>
        <w:ind w:left="0"/>
        <w:jc w:val="center"/>
        <w:rPr>
          <w:rFonts w:ascii="宋体" w:hAnsi="宋体"/>
          <w:b/>
          <w:sz w:val="28"/>
          <w:szCs w:val="28"/>
          <w:highlight w:val="none"/>
        </w:rPr>
      </w:pPr>
    </w:p>
    <w:p w14:paraId="60B9B531">
      <w:pPr>
        <w:pStyle w:val="31"/>
        <w:ind w:left="0"/>
        <w:jc w:val="center"/>
        <w:rPr>
          <w:rFonts w:ascii="宋体" w:hAnsi="宋体"/>
          <w:b/>
          <w:color w:val="auto"/>
          <w:sz w:val="28"/>
          <w:szCs w:val="28"/>
          <w:highlight w:val="none"/>
        </w:rPr>
      </w:pPr>
    </w:p>
    <w:p w14:paraId="4BDF9211">
      <w:pPr>
        <w:pStyle w:val="31"/>
        <w:ind w:left="0"/>
        <w:jc w:val="center"/>
        <w:rPr>
          <w:rFonts w:ascii="宋体" w:hAnsi="宋体"/>
          <w:b/>
          <w:color w:val="auto"/>
          <w:sz w:val="28"/>
          <w:szCs w:val="28"/>
          <w:highlight w:val="none"/>
        </w:rPr>
      </w:pPr>
      <w:r>
        <w:rPr>
          <w:rFonts w:ascii="宋体" w:hAnsi="宋体"/>
          <w:b/>
          <w:color w:val="auto"/>
          <w:sz w:val="28"/>
          <w:szCs w:val="28"/>
          <w:highlight w:val="none"/>
        </w:rPr>
        <w:t>1.比选申请函</w:t>
      </w:r>
    </w:p>
    <w:p w14:paraId="259DBD30">
      <w:pPr>
        <w:ind w:left="360"/>
        <w:rPr>
          <w:rFonts w:ascii="宋体" w:hAnsi="宋体"/>
          <w:b/>
          <w:color w:val="auto"/>
          <w:sz w:val="28"/>
          <w:szCs w:val="28"/>
          <w:highlight w:val="none"/>
        </w:rPr>
      </w:pPr>
    </w:p>
    <w:p w14:paraId="00D5C6AB">
      <w:pPr>
        <w:spacing w:line="360" w:lineRule="auto"/>
        <w:rPr>
          <w:rFonts w:ascii="宋体" w:hAnsi="宋体"/>
          <w:snapToGrid w:val="0"/>
          <w:color w:val="auto"/>
          <w:sz w:val="24"/>
          <w:highlight w:val="none"/>
        </w:rPr>
      </w:pPr>
    </w:p>
    <w:p w14:paraId="1425338E">
      <w:pPr>
        <w:spacing w:line="560" w:lineRule="exact"/>
        <w:rPr>
          <w:rFonts w:ascii="宋体" w:hAnsi="宋体"/>
          <w:snapToGrid w:val="0"/>
          <w:color w:val="auto"/>
          <w:sz w:val="24"/>
          <w:highlight w:val="none"/>
        </w:rPr>
      </w:pPr>
      <w:r>
        <w:rPr>
          <w:rFonts w:hint="eastAsia" w:ascii="宋体" w:hAnsi="宋体"/>
          <w:snapToGrid w:val="0"/>
          <w:color w:val="auto"/>
          <w:sz w:val="24"/>
          <w:highlight w:val="none"/>
        </w:rPr>
        <w:t>比选</w:t>
      </w:r>
      <w:r>
        <w:rPr>
          <w:rFonts w:ascii="宋体" w:hAnsi="宋体"/>
          <w:snapToGrid w:val="0"/>
          <w:color w:val="auto"/>
          <w:sz w:val="24"/>
          <w:highlight w:val="none"/>
        </w:rPr>
        <w:t>人：</w:t>
      </w:r>
      <w:r>
        <w:rPr>
          <w:rFonts w:hint="eastAsia" w:ascii="宋体" w:hAnsi="宋体" w:cs="宋体"/>
          <w:sz w:val="24"/>
          <w:highlight w:val="none"/>
          <w:lang w:eastAsia="zh-CN"/>
        </w:rPr>
        <w:t>中国四联仪器仪表集团有限公司重庆分公司</w:t>
      </w:r>
      <w:r>
        <w:rPr>
          <w:rFonts w:ascii="宋体" w:hAnsi="宋体"/>
          <w:snapToGrid w:val="0"/>
          <w:color w:val="auto"/>
          <w:sz w:val="24"/>
          <w:highlight w:val="none"/>
        </w:rPr>
        <w:t xml:space="preserve"> </w:t>
      </w:r>
      <w:r>
        <w:rPr>
          <w:rFonts w:ascii="宋体" w:hAnsi="宋体"/>
          <w:snapToGrid w:val="0"/>
          <w:color w:val="auto"/>
          <w:sz w:val="24"/>
          <w:highlight w:val="none"/>
          <w:u w:val="single"/>
        </w:rPr>
        <w:t xml:space="preserve">                      </w:t>
      </w:r>
      <w:r>
        <w:rPr>
          <w:rFonts w:ascii="宋体" w:hAnsi="宋体"/>
          <w:snapToGrid w:val="0"/>
          <w:color w:val="auto"/>
          <w:sz w:val="24"/>
          <w:highlight w:val="none"/>
        </w:rPr>
        <w:t xml:space="preserve"> </w:t>
      </w:r>
    </w:p>
    <w:p w14:paraId="5FBA5647">
      <w:pPr>
        <w:numPr>
          <w:ilvl w:val="255"/>
          <w:numId w:val="0"/>
        </w:num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1.根据你方</w:t>
      </w:r>
      <w:r>
        <w:rPr>
          <w:rFonts w:hint="eastAsia" w:ascii="宋体" w:hAnsi="宋体"/>
          <w:snapToGrid w:val="0"/>
          <w:color w:val="auto"/>
          <w:sz w:val="24"/>
          <w:highlight w:val="none"/>
        </w:rPr>
        <w:t>比选</w:t>
      </w:r>
      <w:r>
        <w:rPr>
          <w:rFonts w:ascii="宋体" w:hAnsi="宋体"/>
          <w:snapToGrid w:val="0"/>
          <w:color w:val="auto"/>
          <w:sz w:val="24"/>
          <w:highlight w:val="none"/>
        </w:rPr>
        <w:t>项目</w:t>
      </w:r>
      <w:r>
        <w:rPr>
          <w:rFonts w:ascii="宋体" w:hAnsi="宋体"/>
          <w:snapToGrid w:val="0"/>
          <w:color w:val="auto"/>
          <w:sz w:val="24"/>
          <w:highlight w:val="none"/>
          <w:u w:val="single"/>
        </w:rPr>
        <w:t xml:space="preserve">                    </w:t>
      </w:r>
      <w:r>
        <w:rPr>
          <w:rFonts w:ascii="宋体" w:hAnsi="宋体"/>
          <w:snapToGrid w:val="0"/>
          <w:color w:val="auto"/>
          <w:sz w:val="24"/>
          <w:highlight w:val="none"/>
        </w:rPr>
        <w:t>的</w:t>
      </w:r>
      <w:r>
        <w:rPr>
          <w:rFonts w:hint="eastAsia" w:ascii="宋体" w:hAnsi="宋体"/>
          <w:snapToGrid w:val="0"/>
          <w:color w:val="auto"/>
          <w:sz w:val="24"/>
          <w:highlight w:val="none"/>
        </w:rPr>
        <w:t>比选</w:t>
      </w:r>
      <w:r>
        <w:rPr>
          <w:rFonts w:ascii="宋体" w:hAnsi="宋体"/>
          <w:snapToGrid w:val="0"/>
          <w:color w:val="auto"/>
          <w:sz w:val="24"/>
          <w:highlight w:val="none"/>
        </w:rPr>
        <w:t>文件，遵照《中华人民共和国招标投标法》等有关法律法规的规定，经研究</w:t>
      </w:r>
      <w:r>
        <w:rPr>
          <w:rFonts w:hint="eastAsia" w:ascii="宋体" w:hAnsi="宋体"/>
          <w:snapToGrid w:val="0"/>
          <w:color w:val="auto"/>
          <w:sz w:val="24"/>
          <w:highlight w:val="none"/>
        </w:rPr>
        <w:t>比选</w:t>
      </w:r>
      <w:r>
        <w:rPr>
          <w:rFonts w:ascii="宋体" w:hAnsi="宋体"/>
          <w:snapToGrid w:val="0"/>
          <w:color w:val="auto"/>
          <w:sz w:val="24"/>
          <w:highlight w:val="none"/>
        </w:rPr>
        <w:t>文件的投标须知及有关</w:t>
      </w:r>
      <w:r>
        <w:rPr>
          <w:rFonts w:hint="eastAsia" w:ascii="宋体" w:hAnsi="宋体"/>
          <w:snapToGrid w:val="0"/>
          <w:color w:val="auto"/>
          <w:sz w:val="24"/>
          <w:highlight w:val="none"/>
        </w:rPr>
        <w:t>要求</w:t>
      </w:r>
      <w:r>
        <w:rPr>
          <w:rFonts w:ascii="宋体" w:hAnsi="宋体"/>
          <w:snapToGrid w:val="0"/>
          <w:color w:val="auto"/>
          <w:sz w:val="24"/>
          <w:highlight w:val="none"/>
        </w:rPr>
        <w:t>后，我方</w:t>
      </w:r>
      <w:r>
        <w:rPr>
          <w:rFonts w:hint="eastAsia" w:ascii="宋体" w:hAnsi="宋体"/>
          <w:snapToGrid w:val="0"/>
          <w:color w:val="auto"/>
          <w:sz w:val="24"/>
          <w:highlight w:val="none"/>
        </w:rPr>
        <w:t>就本项目进行报价如下：</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0"/>
        <w:gridCol w:w="4070"/>
        <w:gridCol w:w="2154"/>
        <w:gridCol w:w="590"/>
      </w:tblGrid>
      <w:tr w14:paraId="0C0AD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trPr>
        <w:tc>
          <w:tcPr>
            <w:tcW w:w="0" w:type="auto"/>
            <w:vAlign w:val="center"/>
          </w:tcPr>
          <w:p w14:paraId="160AB8E2">
            <w:pPr>
              <w:spacing w:line="560" w:lineRule="exact"/>
              <w:jc w:val="center"/>
              <w:rPr>
                <w:rFonts w:ascii="宋体"/>
                <w:color w:val="auto"/>
                <w:szCs w:val="21"/>
                <w:highlight w:val="none"/>
              </w:rPr>
            </w:pPr>
            <w:r>
              <w:rPr>
                <w:rFonts w:hint="eastAsia" w:ascii="宋体"/>
                <w:color w:val="auto"/>
                <w:szCs w:val="21"/>
                <w:highlight w:val="none"/>
              </w:rPr>
              <w:t>项目名称</w:t>
            </w:r>
          </w:p>
        </w:tc>
        <w:tc>
          <w:tcPr>
            <w:tcW w:w="0" w:type="auto"/>
            <w:vAlign w:val="center"/>
          </w:tcPr>
          <w:p w14:paraId="30249B4D">
            <w:pPr>
              <w:spacing w:line="560" w:lineRule="exact"/>
              <w:jc w:val="center"/>
              <w:rPr>
                <w:rFonts w:ascii="宋体"/>
                <w:szCs w:val="21"/>
                <w:highlight w:val="none"/>
              </w:rPr>
            </w:pPr>
            <w:r>
              <w:rPr>
                <w:rFonts w:hint="eastAsia" w:ascii="宋体"/>
                <w:szCs w:val="21"/>
                <w:highlight w:val="none"/>
              </w:rPr>
              <w:t>内容</w:t>
            </w:r>
          </w:p>
        </w:tc>
        <w:tc>
          <w:tcPr>
            <w:tcW w:w="0" w:type="auto"/>
            <w:vAlign w:val="center"/>
          </w:tcPr>
          <w:p w14:paraId="14E7568F">
            <w:pPr>
              <w:spacing w:line="560" w:lineRule="exact"/>
              <w:jc w:val="center"/>
              <w:rPr>
                <w:rFonts w:ascii="宋体"/>
                <w:szCs w:val="21"/>
                <w:highlight w:val="none"/>
              </w:rPr>
            </w:pPr>
            <w:r>
              <w:rPr>
                <w:rFonts w:hint="eastAsia" w:ascii="宋体"/>
                <w:szCs w:val="21"/>
                <w:highlight w:val="none"/>
              </w:rPr>
              <w:t>含税固定包干总价（元）</w:t>
            </w:r>
          </w:p>
        </w:tc>
        <w:tc>
          <w:tcPr>
            <w:tcW w:w="0" w:type="auto"/>
            <w:vAlign w:val="center"/>
          </w:tcPr>
          <w:p w14:paraId="51733049">
            <w:pPr>
              <w:spacing w:line="560" w:lineRule="exact"/>
              <w:jc w:val="center"/>
              <w:rPr>
                <w:rFonts w:ascii="宋体"/>
                <w:szCs w:val="21"/>
                <w:highlight w:val="none"/>
              </w:rPr>
            </w:pPr>
            <w:r>
              <w:rPr>
                <w:rFonts w:hint="eastAsia" w:ascii="宋体"/>
                <w:szCs w:val="21"/>
                <w:highlight w:val="none"/>
              </w:rPr>
              <w:t>备注</w:t>
            </w:r>
          </w:p>
        </w:tc>
      </w:tr>
      <w:tr w14:paraId="2A995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0" w:type="auto"/>
            <w:vAlign w:val="center"/>
          </w:tcPr>
          <w:p w14:paraId="52D8AF4E">
            <w:pPr>
              <w:pStyle w:val="35"/>
              <w:widowControl/>
              <w:tabs>
                <w:tab w:val="center" w:pos="4649"/>
                <w:tab w:val="right" w:pos="9299"/>
              </w:tabs>
              <w:adjustRightInd w:val="0"/>
              <w:spacing w:after="200" w:line="560" w:lineRule="exact"/>
              <w:jc w:val="center"/>
              <w:rPr>
                <w:rFonts w:ascii="宋体"/>
                <w:sz w:val="21"/>
                <w:szCs w:val="21"/>
                <w:highlight w:val="none"/>
              </w:rPr>
            </w:pPr>
            <w:r>
              <w:rPr>
                <w:rFonts w:hint="eastAsia"/>
                <w:sz w:val="21"/>
                <w:szCs w:val="21"/>
                <w:highlight w:val="none"/>
              </w:rPr>
              <w:t>渝中区筷子街2号车库道闸服务采购</w:t>
            </w:r>
          </w:p>
        </w:tc>
        <w:tc>
          <w:tcPr>
            <w:tcW w:w="0" w:type="auto"/>
            <w:vAlign w:val="center"/>
          </w:tcPr>
          <w:p w14:paraId="2D4B3342">
            <w:pPr>
              <w:adjustRightInd w:val="0"/>
              <w:snapToGrid w:val="0"/>
              <w:spacing w:line="560" w:lineRule="exact"/>
              <w:jc w:val="left"/>
              <w:rPr>
                <w:rFonts w:ascii="宋体"/>
                <w:szCs w:val="21"/>
                <w:highlight w:val="none"/>
              </w:rPr>
            </w:pPr>
            <w:r>
              <w:rPr>
                <w:rFonts w:hint="eastAsia"/>
                <w:szCs w:val="21"/>
                <w:highlight w:val="none"/>
              </w:rPr>
              <w:t>详见比选文件中“</w:t>
            </w:r>
            <w:r>
              <w:rPr>
                <w:rFonts w:hint="eastAsia" w:ascii="宋体" w:hAnsi="宋体" w:cs="宋体"/>
                <w:color w:val="auto"/>
                <w:kern w:val="0"/>
                <w:szCs w:val="21"/>
                <w:highlight w:val="none"/>
              </w:rPr>
              <w:t>服务内容、服务要求、服务成果</w:t>
            </w:r>
            <w:r>
              <w:rPr>
                <w:rFonts w:hint="eastAsia"/>
                <w:szCs w:val="21"/>
                <w:highlight w:val="none"/>
              </w:rPr>
              <w:t>”</w:t>
            </w:r>
          </w:p>
        </w:tc>
        <w:tc>
          <w:tcPr>
            <w:tcW w:w="0" w:type="auto"/>
            <w:vAlign w:val="center"/>
          </w:tcPr>
          <w:p w14:paraId="159C36BB">
            <w:pPr>
              <w:spacing w:line="560" w:lineRule="exact"/>
              <w:jc w:val="center"/>
              <w:rPr>
                <w:rFonts w:ascii="宋体"/>
                <w:szCs w:val="21"/>
                <w:highlight w:val="none"/>
              </w:rPr>
            </w:pPr>
          </w:p>
        </w:tc>
        <w:tc>
          <w:tcPr>
            <w:tcW w:w="0" w:type="auto"/>
            <w:vAlign w:val="center"/>
          </w:tcPr>
          <w:p w14:paraId="1E994AEB">
            <w:pPr>
              <w:spacing w:line="560" w:lineRule="exact"/>
              <w:jc w:val="center"/>
              <w:rPr>
                <w:rFonts w:ascii="宋体"/>
                <w:szCs w:val="21"/>
                <w:highlight w:val="none"/>
              </w:rPr>
            </w:pPr>
          </w:p>
        </w:tc>
      </w:tr>
    </w:tbl>
    <w:p w14:paraId="5A43BA25">
      <w:pPr>
        <w:numPr>
          <w:ilvl w:val="255"/>
          <w:numId w:val="0"/>
        </w:numPr>
        <w:spacing w:line="560" w:lineRule="exact"/>
        <w:rPr>
          <w:rFonts w:ascii="宋体" w:hAnsi="宋体"/>
          <w:snapToGrid w:val="0"/>
          <w:color w:val="auto"/>
          <w:sz w:val="24"/>
          <w:highlight w:val="none"/>
        </w:rPr>
      </w:pPr>
    </w:p>
    <w:p w14:paraId="571FDA21">
      <w:pPr>
        <w:snapToGrid w:val="0"/>
        <w:spacing w:line="560" w:lineRule="exact"/>
        <w:jc w:val="left"/>
        <w:rPr>
          <w:rFonts w:hAnsi="宋体"/>
          <w:sz w:val="24"/>
          <w:highlight w:val="none"/>
        </w:rPr>
      </w:pPr>
      <w:r>
        <w:rPr>
          <w:rFonts w:hint="eastAsia" w:ascii="宋体" w:hAnsi="宋体"/>
          <w:sz w:val="24"/>
          <w:highlight w:val="none"/>
        </w:rPr>
        <w:t>注：</w:t>
      </w:r>
      <w:r>
        <w:rPr>
          <w:rFonts w:hAnsi="宋体"/>
          <w:sz w:val="24"/>
          <w:highlight w:val="none"/>
        </w:rPr>
        <w:t>本价格包括</w:t>
      </w:r>
      <w:r>
        <w:rPr>
          <w:rFonts w:hint="eastAsia" w:hAnsi="宋体"/>
          <w:sz w:val="24"/>
          <w:highlight w:val="none"/>
        </w:rPr>
        <w:t>比选申请人</w:t>
      </w:r>
      <w:r>
        <w:rPr>
          <w:rFonts w:hAnsi="宋体"/>
          <w:sz w:val="24"/>
          <w:highlight w:val="none"/>
        </w:rPr>
        <w:t>应承担的所有工作、义务及风险的费用</w:t>
      </w:r>
      <w:r>
        <w:rPr>
          <w:rFonts w:hint="eastAsia" w:hAnsi="宋体"/>
          <w:sz w:val="24"/>
          <w:highlight w:val="none"/>
        </w:rPr>
        <w:t>、</w:t>
      </w:r>
      <w:r>
        <w:rPr>
          <w:rFonts w:hAnsi="宋体"/>
          <w:sz w:val="24"/>
          <w:highlight w:val="none"/>
        </w:rPr>
        <w:t>技术支持费、</w:t>
      </w:r>
      <w:r>
        <w:rPr>
          <w:rFonts w:hint="eastAsia" w:hAnsi="宋体"/>
          <w:sz w:val="24"/>
          <w:highlight w:val="none"/>
        </w:rPr>
        <w:t>人员工资及设备使用费</w:t>
      </w:r>
      <w:r>
        <w:rPr>
          <w:rFonts w:hAnsi="宋体"/>
          <w:sz w:val="24"/>
          <w:highlight w:val="none"/>
        </w:rPr>
        <w:t>、税费、</w:t>
      </w:r>
      <w:r>
        <w:rPr>
          <w:rFonts w:hint="eastAsia" w:hAnsi="宋体"/>
          <w:sz w:val="24"/>
          <w:highlight w:val="none"/>
        </w:rPr>
        <w:t>保险、</w:t>
      </w:r>
      <w:r>
        <w:rPr>
          <w:rFonts w:hAnsi="宋体"/>
          <w:sz w:val="24"/>
          <w:highlight w:val="none"/>
        </w:rPr>
        <w:t>利润、不可预见费等</w:t>
      </w:r>
      <w:r>
        <w:rPr>
          <w:rFonts w:hint="eastAsia" w:hAnsi="宋体"/>
          <w:sz w:val="24"/>
          <w:highlight w:val="none"/>
        </w:rPr>
        <w:t>全过程所涉及的一切费用</w:t>
      </w:r>
      <w:r>
        <w:rPr>
          <w:rFonts w:hAnsi="宋体"/>
          <w:sz w:val="24"/>
          <w:highlight w:val="none"/>
        </w:rPr>
        <w:t>。</w:t>
      </w:r>
    </w:p>
    <w:p w14:paraId="620B6886">
      <w:pPr>
        <w:numPr>
          <w:ilvl w:val="255"/>
          <w:numId w:val="0"/>
        </w:numPr>
        <w:spacing w:line="560" w:lineRule="exact"/>
        <w:rPr>
          <w:rFonts w:ascii="宋体" w:hAnsi="宋体"/>
          <w:snapToGrid w:val="0"/>
          <w:color w:val="auto"/>
          <w:sz w:val="24"/>
          <w:highlight w:val="none"/>
        </w:rPr>
      </w:pPr>
    </w:p>
    <w:p w14:paraId="2B20863E">
      <w:pPr>
        <w:spacing w:line="560" w:lineRule="exact"/>
        <w:ind w:firstLine="480" w:firstLineChars="200"/>
        <w:jc w:val="left"/>
        <w:rPr>
          <w:rFonts w:ascii="宋体" w:hAnsi="宋体"/>
          <w:snapToGrid w:val="0"/>
          <w:color w:val="auto"/>
          <w:sz w:val="24"/>
          <w:highlight w:val="none"/>
        </w:rPr>
      </w:pPr>
      <w:r>
        <w:rPr>
          <w:rFonts w:ascii="宋体" w:hAnsi="宋体"/>
          <w:snapToGrid w:val="0"/>
          <w:color w:val="auto"/>
          <w:sz w:val="24"/>
          <w:highlight w:val="none"/>
        </w:rPr>
        <w:t>1.我公司开具发票税种为：      税率为：</w:t>
      </w:r>
    </w:p>
    <w:p w14:paraId="1405C851">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2.我方已详细阅读全部</w:t>
      </w:r>
      <w:r>
        <w:rPr>
          <w:rFonts w:hint="eastAsia" w:ascii="宋体" w:hAnsi="宋体"/>
          <w:snapToGrid w:val="0"/>
          <w:color w:val="auto"/>
          <w:sz w:val="24"/>
          <w:highlight w:val="none"/>
        </w:rPr>
        <w:t>比选</w:t>
      </w:r>
      <w:r>
        <w:rPr>
          <w:rFonts w:ascii="宋体" w:hAnsi="宋体"/>
          <w:snapToGrid w:val="0"/>
          <w:color w:val="auto"/>
          <w:sz w:val="24"/>
          <w:highlight w:val="none"/>
        </w:rPr>
        <w:t>文件，包括澄清或者修改文件。</w:t>
      </w:r>
    </w:p>
    <w:p w14:paraId="69A2439A">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3.我方承诺</w:t>
      </w:r>
      <w:r>
        <w:rPr>
          <w:rFonts w:hint="eastAsia" w:ascii="宋体" w:hAnsi="宋体"/>
          <w:snapToGrid w:val="0"/>
          <w:color w:val="auto"/>
          <w:sz w:val="24"/>
          <w:highlight w:val="none"/>
        </w:rPr>
        <w:t>完成时间</w:t>
      </w:r>
      <w:r>
        <w:rPr>
          <w:rFonts w:ascii="宋体" w:hAnsi="宋体"/>
          <w:snapToGrid w:val="0"/>
          <w:color w:val="auto"/>
          <w:sz w:val="24"/>
          <w:highlight w:val="none"/>
        </w:rPr>
        <w:t>为</w:t>
      </w:r>
      <w:r>
        <w:rPr>
          <w:rFonts w:hint="eastAsia" w:ascii="宋体" w:hAnsi="宋体"/>
          <w:snapToGrid w:val="0"/>
          <w:color w:val="auto"/>
          <w:sz w:val="24"/>
          <w:highlight w:val="none"/>
        </w:rPr>
        <w:t>：</w:t>
      </w:r>
    </w:p>
    <w:p w14:paraId="0205920E">
      <w:pPr>
        <w:spacing w:line="560" w:lineRule="exact"/>
        <w:ind w:firstLine="480" w:firstLineChars="200"/>
        <w:rPr>
          <w:rFonts w:ascii="宋体" w:hAnsi="宋体"/>
          <w:snapToGrid w:val="0"/>
          <w:color w:val="auto"/>
          <w:sz w:val="24"/>
          <w:highlight w:val="none"/>
        </w:rPr>
      </w:pPr>
      <w:r>
        <w:rPr>
          <w:rFonts w:hint="eastAsia" w:ascii="宋体" w:hAnsi="宋体"/>
          <w:snapToGrid w:val="0"/>
          <w:color w:val="auto"/>
          <w:sz w:val="24"/>
          <w:highlight w:val="none"/>
        </w:rPr>
        <w:t>（</w:t>
      </w:r>
      <w:r>
        <w:rPr>
          <w:rFonts w:ascii="宋体" w:hAnsi="宋体"/>
          <w:snapToGrid w:val="0"/>
          <w:color w:val="auto"/>
          <w:sz w:val="24"/>
          <w:highlight w:val="none"/>
        </w:rPr>
        <w:t>1</w:t>
      </w:r>
      <w:r>
        <w:rPr>
          <w:rFonts w:hint="eastAsia" w:ascii="宋体" w:hAnsi="宋体"/>
          <w:snapToGrid w:val="0"/>
          <w:color w:val="auto"/>
          <w:sz w:val="24"/>
          <w:highlight w:val="none"/>
        </w:rPr>
        <w:t>）合同签订后</w:t>
      </w:r>
      <w:r>
        <w:rPr>
          <w:rFonts w:ascii="宋体" w:hAnsi="宋体"/>
          <w:snapToGrid w:val="0"/>
          <w:color w:val="auto"/>
          <w:sz w:val="24"/>
          <w:highlight w:val="none"/>
          <w:u w:val="single"/>
        </w:rPr>
        <w:t xml:space="preserve">   </w:t>
      </w:r>
      <w:r>
        <w:rPr>
          <w:rFonts w:hint="eastAsia" w:ascii="宋体" w:hAnsi="宋体"/>
          <w:snapToGrid w:val="0"/>
          <w:color w:val="auto"/>
          <w:sz w:val="24"/>
          <w:highlight w:val="none"/>
          <w:u w:val="single"/>
          <w:lang w:val="en-US" w:eastAsia="zh-CN"/>
        </w:rPr>
        <w:t>10</w:t>
      </w:r>
      <w:r>
        <w:rPr>
          <w:rFonts w:ascii="宋体" w:hAnsi="宋体"/>
          <w:snapToGrid w:val="0"/>
          <w:color w:val="auto"/>
          <w:sz w:val="24"/>
          <w:highlight w:val="none"/>
          <w:u w:val="single"/>
        </w:rPr>
        <w:t xml:space="preserve">  </w:t>
      </w:r>
      <w:r>
        <w:rPr>
          <w:rFonts w:hint="eastAsia" w:ascii="宋体" w:hAnsi="宋体"/>
          <w:snapToGrid w:val="0"/>
          <w:color w:val="auto"/>
          <w:sz w:val="24"/>
          <w:highlight w:val="none"/>
        </w:rPr>
        <w:t>日历天内完成</w:t>
      </w:r>
      <w:r>
        <w:rPr>
          <w:rFonts w:hint="eastAsia" w:ascii="宋体" w:hAnsi="宋体"/>
          <w:snapToGrid w:val="0"/>
          <w:color w:val="auto"/>
          <w:sz w:val="24"/>
          <w:highlight w:val="none"/>
          <w:lang w:val="en-US" w:eastAsia="zh-CN"/>
        </w:rPr>
        <w:t>道闸硬件及软件安装及调试工作，并</w:t>
      </w:r>
      <w:r>
        <w:rPr>
          <w:rFonts w:hint="eastAsia" w:ascii="宋体" w:hAnsi="宋体"/>
          <w:snapToGrid w:val="0"/>
          <w:color w:val="auto"/>
          <w:sz w:val="24"/>
          <w:highlight w:val="none"/>
        </w:rPr>
        <w:t>向比选人提出验收申请，并通过</w:t>
      </w:r>
      <w:r>
        <w:rPr>
          <w:rFonts w:hint="eastAsia" w:ascii="宋体" w:hAnsi="宋体"/>
          <w:snapToGrid w:val="0"/>
          <w:color w:val="auto"/>
          <w:sz w:val="24"/>
          <w:highlight w:val="none"/>
          <w:lang w:eastAsia="zh-CN"/>
        </w:rPr>
        <w:t>四联集团重分公司</w:t>
      </w:r>
      <w:r>
        <w:rPr>
          <w:rFonts w:hint="eastAsia" w:ascii="宋体" w:hAnsi="宋体"/>
          <w:snapToGrid w:val="0"/>
          <w:color w:val="auto"/>
          <w:sz w:val="24"/>
          <w:highlight w:val="none"/>
          <w:lang w:val="en-US" w:eastAsia="zh-CN"/>
        </w:rPr>
        <w:t>采购比选小组</w:t>
      </w:r>
      <w:r>
        <w:rPr>
          <w:rFonts w:hint="eastAsia" w:ascii="宋体" w:hAnsi="宋体"/>
          <w:snapToGrid w:val="0"/>
          <w:color w:val="auto"/>
          <w:sz w:val="24"/>
          <w:highlight w:val="none"/>
        </w:rPr>
        <w:t>验收合格。</w:t>
      </w:r>
    </w:p>
    <w:p w14:paraId="74EF76F4">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4.我方承诺</w:t>
      </w:r>
      <w:r>
        <w:rPr>
          <w:rFonts w:hint="eastAsia" w:ascii="宋体" w:hAnsi="宋体"/>
          <w:snapToGrid w:val="0"/>
          <w:color w:val="auto"/>
          <w:sz w:val="24"/>
          <w:highlight w:val="none"/>
        </w:rPr>
        <w:t>：比选申请</w:t>
      </w:r>
      <w:r>
        <w:rPr>
          <w:rFonts w:ascii="宋体" w:hAnsi="宋体"/>
          <w:snapToGrid w:val="0"/>
          <w:color w:val="auto"/>
          <w:sz w:val="24"/>
          <w:highlight w:val="none"/>
        </w:rPr>
        <w:t>文件的</w:t>
      </w:r>
      <w:r>
        <w:rPr>
          <w:rFonts w:hint="eastAsia" w:ascii="宋体" w:hAnsi="宋体"/>
          <w:snapToGrid w:val="0"/>
          <w:color w:val="auto"/>
          <w:sz w:val="24"/>
          <w:highlight w:val="none"/>
        </w:rPr>
        <w:t>所有</w:t>
      </w:r>
      <w:r>
        <w:rPr>
          <w:rFonts w:ascii="宋体" w:hAnsi="宋体"/>
          <w:snapToGrid w:val="0"/>
          <w:color w:val="auto"/>
          <w:sz w:val="24"/>
          <w:highlight w:val="none"/>
        </w:rPr>
        <w:t>权属于</w:t>
      </w:r>
      <w:r>
        <w:rPr>
          <w:rFonts w:hint="eastAsia" w:ascii="宋体" w:hAnsi="宋体"/>
          <w:snapToGrid w:val="0"/>
          <w:color w:val="auto"/>
          <w:sz w:val="24"/>
          <w:highlight w:val="none"/>
          <w:lang w:eastAsia="zh-CN"/>
        </w:rPr>
        <w:t>四联集团重分公司</w:t>
      </w:r>
      <w:r>
        <w:rPr>
          <w:rFonts w:hint="eastAsia" w:ascii="宋体" w:hAnsi="宋体"/>
          <w:snapToGrid w:val="0"/>
          <w:color w:val="auto"/>
          <w:sz w:val="24"/>
          <w:highlight w:val="none"/>
        </w:rPr>
        <w:t>。</w:t>
      </w:r>
    </w:p>
    <w:p w14:paraId="1E2C3610">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5.我方承诺：</w:t>
      </w:r>
      <w:r>
        <w:rPr>
          <w:rFonts w:hint="eastAsia" w:ascii="宋体" w:hAnsi="宋体"/>
          <w:snapToGrid w:val="0"/>
          <w:color w:val="auto"/>
          <w:sz w:val="24"/>
          <w:highlight w:val="none"/>
        </w:rPr>
        <w:t>服务</w:t>
      </w:r>
      <w:r>
        <w:rPr>
          <w:rFonts w:ascii="宋体" w:hAnsi="宋体"/>
          <w:snapToGrid w:val="0"/>
          <w:color w:val="auto"/>
          <w:sz w:val="24"/>
          <w:highlight w:val="none"/>
        </w:rPr>
        <w:t>过程中按</w:t>
      </w:r>
      <w:r>
        <w:rPr>
          <w:rFonts w:hint="eastAsia" w:ascii="宋体" w:hAnsi="宋体"/>
          <w:snapToGrid w:val="0"/>
          <w:color w:val="auto"/>
          <w:sz w:val="24"/>
          <w:highlight w:val="none"/>
        </w:rPr>
        <w:t>比选</w:t>
      </w:r>
      <w:r>
        <w:rPr>
          <w:rFonts w:ascii="宋体" w:hAnsi="宋体"/>
          <w:snapToGrid w:val="0"/>
          <w:color w:val="auto"/>
          <w:sz w:val="24"/>
          <w:highlight w:val="none"/>
        </w:rPr>
        <w:t>人要求提供</w:t>
      </w:r>
      <w:r>
        <w:rPr>
          <w:rFonts w:hint="eastAsia" w:ascii="宋体" w:hAnsi="宋体"/>
          <w:snapToGrid w:val="0"/>
          <w:color w:val="auto"/>
          <w:sz w:val="24"/>
          <w:highlight w:val="none"/>
        </w:rPr>
        <w:t>服务</w:t>
      </w:r>
      <w:r>
        <w:rPr>
          <w:rFonts w:ascii="宋体" w:hAnsi="宋体"/>
          <w:snapToGrid w:val="0"/>
          <w:color w:val="auto"/>
          <w:sz w:val="24"/>
          <w:highlight w:val="none"/>
        </w:rPr>
        <w:t>。</w:t>
      </w:r>
    </w:p>
    <w:p w14:paraId="6AFC988E">
      <w:pPr>
        <w:tabs>
          <w:tab w:val="left" w:pos="3395"/>
          <w:tab w:val="left" w:pos="5940"/>
        </w:tabs>
        <w:autoSpaceDE w:val="0"/>
        <w:autoSpaceDN w:val="0"/>
        <w:adjustRightInd w:val="0"/>
        <w:snapToGrid w:val="0"/>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6.我方承诺：</w:t>
      </w:r>
      <w:r>
        <w:rPr>
          <w:rFonts w:hint="eastAsia" w:ascii="宋体" w:hAnsi="宋体"/>
          <w:snapToGrid w:val="0"/>
          <w:color w:val="auto"/>
          <w:sz w:val="24"/>
          <w:highlight w:val="none"/>
        </w:rPr>
        <w:t>做好</w:t>
      </w:r>
      <w:r>
        <w:rPr>
          <w:rFonts w:ascii="宋体" w:hAnsi="宋体"/>
          <w:snapToGrid w:val="0"/>
          <w:color w:val="auto"/>
          <w:sz w:val="24"/>
          <w:highlight w:val="none"/>
        </w:rPr>
        <w:t>与</w:t>
      </w:r>
      <w:r>
        <w:rPr>
          <w:rFonts w:hint="eastAsia" w:ascii="宋体" w:hAnsi="宋体"/>
          <w:snapToGrid w:val="0"/>
          <w:color w:val="auto"/>
          <w:sz w:val="24"/>
          <w:highlight w:val="none"/>
        </w:rPr>
        <w:t>比选</w:t>
      </w:r>
      <w:r>
        <w:rPr>
          <w:rFonts w:ascii="宋体" w:hAnsi="宋体"/>
          <w:snapToGrid w:val="0"/>
          <w:color w:val="auto"/>
          <w:sz w:val="24"/>
          <w:highlight w:val="none"/>
        </w:rPr>
        <w:t>人和其它相关部门的协调</w:t>
      </w:r>
      <w:r>
        <w:rPr>
          <w:rFonts w:hint="eastAsia" w:ascii="宋体" w:hAnsi="宋体"/>
          <w:snapToGrid w:val="0"/>
          <w:color w:val="auto"/>
          <w:sz w:val="24"/>
          <w:highlight w:val="none"/>
        </w:rPr>
        <w:t>工作</w:t>
      </w:r>
      <w:r>
        <w:rPr>
          <w:rFonts w:ascii="宋体" w:hAnsi="宋体"/>
          <w:snapToGrid w:val="0"/>
          <w:color w:val="auto"/>
          <w:sz w:val="24"/>
          <w:highlight w:val="none"/>
        </w:rPr>
        <w:t>。</w:t>
      </w:r>
    </w:p>
    <w:p w14:paraId="4EE9D193">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7.除非达成另外协议并生效，你方的本</w:t>
      </w:r>
      <w:r>
        <w:rPr>
          <w:rFonts w:hint="eastAsia" w:ascii="宋体" w:hAnsi="宋体"/>
          <w:snapToGrid w:val="0"/>
          <w:color w:val="auto"/>
          <w:sz w:val="24"/>
          <w:highlight w:val="none"/>
        </w:rPr>
        <w:t>比选</w:t>
      </w:r>
      <w:r>
        <w:rPr>
          <w:rFonts w:ascii="宋体" w:hAnsi="宋体"/>
          <w:snapToGrid w:val="0"/>
          <w:color w:val="auto"/>
          <w:sz w:val="24"/>
          <w:highlight w:val="none"/>
        </w:rPr>
        <w:t>文件将成为约束双方的合同文件组成部分。</w:t>
      </w:r>
    </w:p>
    <w:p w14:paraId="7454966C">
      <w:pPr>
        <w:pStyle w:val="6"/>
        <w:spacing w:line="560" w:lineRule="exact"/>
        <w:ind w:left="525" w:leftChars="250"/>
        <w:jc w:val="left"/>
        <w:rPr>
          <w:rFonts w:ascii="宋体" w:hAnsi="宋体" w:eastAsia="宋体"/>
          <w:color w:val="auto"/>
          <w:sz w:val="24"/>
          <w:szCs w:val="24"/>
          <w:highlight w:val="none"/>
        </w:rPr>
      </w:pPr>
      <w:r>
        <w:rPr>
          <w:rFonts w:ascii="宋体" w:hAnsi="宋体" w:eastAsia="宋体"/>
          <w:color w:val="auto"/>
          <w:sz w:val="24"/>
          <w:szCs w:val="24"/>
          <w:highlight w:val="none"/>
        </w:rPr>
        <w:t>8.</w:t>
      </w:r>
      <w:r>
        <w:rPr>
          <w:rFonts w:hint="eastAsia" w:ascii="宋体" w:hAnsi="宋体" w:eastAsia="宋体"/>
          <w:color w:val="auto"/>
          <w:sz w:val="24"/>
          <w:szCs w:val="24"/>
          <w:highlight w:val="none"/>
        </w:rPr>
        <w:t>我公司指定　　　　，邮箱：　　　　　向贵公司发送电子版比选申请文件，上述人员向贵公司发送电子版比选申请文件视为我公司递交比选申请文件，贵公司有权据此确定比选中选人。</w:t>
      </w:r>
    </w:p>
    <w:p w14:paraId="6C341AC6">
      <w:pPr>
        <w:spacing w:line="360" w:lineRule="auto"/>
        <w:ind w:firstLine="480" w:firstLineChars="200"/>
        <w:rPr>
          <w:rFonts w:ascii="宋体" w:hAnsi="宋体"/>
          <w:snapToGrid w:val="0"/>
          <w:color w:val="auto"/>
          <w:sz w:val="24"/>
          <w:highlight w:val="none"/>
        </w:rPr>
      </w:pPr>
    </w:p>
    <w:p w14:paraId="5D29013A">
      <w:pPr>
        <w:spacing w:line="360" w:lineRule="auto"/>
        <w:ind w:firstLine="480" w:firstLineChars="200"/>
        <w:rPr>
          <w:rFonts w:ascii="宋体" w:hAnsi="宋体"/>
          <w:snapToGrid w:val="0"/>
          <w:color w:val="auto"/>
          <w:sz w:val="24"/>
          <w:highlight w:val="none"/>
        </w:rPr>
      </w:pPr>
    </w:p>
    <w:p w14:paraId="1ACFA075">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法定代表人或授权代表人：（签字）</w:t>
      </w:r>
    </w:p>
    <w:p w14:paraId="28C955E6">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单</w:t>
      </w:r>
      <w:r>
        <w:rPr>
          <w:rFonts w:ascii="宋体" w:hAnsi="宋体"/>
          <w:sz w:val="24"/>
          <w:highlight w:val="none"/>
        </w:rPr>
        <w:t xml:space="preserve">  </w:t>
      </w:r>
      <w:r>
        <w:rPr>
          <w:rFonts w:hint="eastAsia" w:ascii="宋体" w:hAnsi="宋体"/>
          <w:sz w:val="24"/>
          <w:highlight w:val="none"/>
        </w:rPr>
        <w:t>位</w:t>
      </w:r>
      <w:r>
        <w:rPr>
          <w:rFonts w:ascii="宋体" w:hAnsi="宋体"/>
          <w:sz w:val="24"/>
          <w:highlight w:val="none"/>
        </w:rPr>
        <w:t xml:space="preserve"> </w:t>
      </w:r>
      <w:r>
        <w:rPr>
          <w:rFonts w:hint="eastAsia" w:ascii="宋体" w:hAnsi="宋体"/>
          <w:sz w:val="24"/>
          <w:highlight w:val="none"/>
        </w:rPr>
        <w:t>公</w:t>
      </w:r>
      <w:r>
        <w:rPr>
          <w:rFonts w:ascii="宋体" w:hAnsi="宋体"/>
          <w:sz w:val="24"/>
          <w:highlight w:val="none"/>
        </w:rPr>
        <w:t xml:space="preserve"> </w:t>
      </w:r>
      <w:r>
        <w:rPr>
          <w:rFonts w:hint="eastAsia" w:ascii="宋体" w:hAnsi="宋体"/>
          <w:sz w:val="24"/>
          <w:highlight w:val="none"/>
        </w:rPr>
        <w:t>章：</w:t>
      </w:r>
      <w:r>
        <w:rPr>
          <w:rFonts w:ascii="宋体" w:hAnsi="宋体"/>
          <w:sz w:val="24"/>
          <w:highlight w:val="none"/>
        </w:rPr>
        <w:t>______________</w:t>
      </w:r>
    </w:p>
    <w:p w14:paraId="779FF371">
      <w:pPr>
        <w:snapToGrid w:val="0"/>
        <w:spacing w:before="360" w:beforeLines="150" w:line="480" w:lineRule="auto"/>
        <w:ind w:left="420" w:leftChars="200"/>
        <w:jc w:val="left"/>
        <w:rPr>
          <w:rFonts w:hint="eastAsia" w:ascii="宋体" w:hAnsi="宋体"/>
          <w:sz w:val="24"/>
          <w:highlight w:val="none"/>
        </w:rPr>
      </w:pPr>
      <w:r>
        <w:rPr>
          <w:rFonts w:hint="eastAsia" w:ascii="宋体" w:hAnsi="宋体"/>
          <w:sz w:val="24"/>
          <w:highlight w:val="none"/>
        </w:rPr>
        <w:t>日期：</w:t>
      </w:r>
      <w:r>
        <w:rPr>
          <w:rFonts w:ascii="宋体" w:hAnsi="宋体"/>
          <w:sz w:val="24"/>
          <w:highlight w:val="none"/>
        </w:rPr>
        <w:t xml:space="preserve">   </w:t>
      </w:r>
      <w:r>
        <w:rPr>
          <w:rFonts w:hint="eastAsia" w:ascii="宋体" w:hAnsi="宋体"/>
          <w:sz w:val="24"/>
          <w:highlight w:val="none"/>
        </w:rPr>
        <w:t>年　　月</w:t>
      </w:r>
      <w:r>
        <w:rPr>
          <w:rFonts w:ascii="宋体" w:hAnsi="宋体"/>
          <w:sz w:val="24"/>
          <w:highlight w:val="none"/>
        </w:rPr>
        <w:t xml:space="preserve">    </w:t>
      </w:r>
      <w:r>
        <w:rPr>
          <w:rFonts w:hint="eastAsia" w:ascii="宋体" w:hAnsi="宋体"/>
          <w:sz w:val="24"/>
          <w:highlight w:val="none"/>
        </w:rPr>
        <w:t>日</w:t>
      </w:r>
    </w:p>
    <w:p w14:paraId="6162522E">
      <w:pPr>
        <w:snapToGrid w:val="0"/>
        <w:spacing w:before="360" w:beforeLines="150" w:line="480" w:lineRule="auto"/>
        <w:ind w:left="420" w:leftChars="200"/>
        <w:jc w:val="left"/>
        <w:rPr>
          <w:rFonts w:hint="eastAsia" w:ascii="宋体" w:hAnsi="宋体"/>
          <w:sz w:val="24"/>
          <w:highlight w:val="none"/>
          <w:lang w:val="en-US" w:eastAsia="zh-CN"/>
        </w:rPr>
      </w:pPr>
      <w:r>
        <w:rPr>
          <w:rFonts w:hint="eastAsia" w:ascii="宋体" w:hAnsi="宋体"/>
          <w:sz w:val="24"/>
          <w:highlight w:val="none"/>
          <w:lang w:val="en-US" w:eastAsia="zh-CN"/>
        </w:rPr>
        <w:t>附件：明细报价表</w:t>
      </w:r>
    </w:p>
    <w:p w14:paraId="2C006E68">
      <w:pPr>
        <w:spacing w:line="360" w:lineRule="auto"/>
        <w:rPr>
          <w:rFonts w:ascii="仿宋" w:hAnsi="仿宋" w:eastAsia="仿宋"/>
          <w:sz w:val="24"/>
          <w:szCs w:val="24"/>
          <w:u w:val="single"/>
        </w:rPr>
      </w:pPr>
      <w:r>
        <w:rPr>
          <w:rFonts w:hint="eastAsia" w:ascii="仿宋" w:hAnsi="仿宋" w:eastAsia="仿宋"/>
          <w:sz w:val="21"/>
          <w:szCs w:val="28"/>
        </w:rPr>
        <w:t>项目名称：</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939"/>
        <w:gridCol w:w="2489"/>
        <w:gridCol w:w="1249"/>
        <w:gridCol w:w="1249"/>
        <w:gridCol w:w="939"/>
        <w:gridCol w:w="940"/>
        <w:gridCol w:w="940"/>
      </w:tblGrid>
      <w:tr w14:paraId="3908C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485" w:type="pct"/>
            <w:noWrap/>
            <w:vAlign w:val="center"/>
          </w:tcPr>
          <w:p w14:paraId="30D0899B">
            <w:pPr>
              <w:jc w:val="center"/>
              <w:rPr>
                <w:rFonts w:ascii="仿宋" w:hAnsi="仿宋" w:eastAsia="仿宋" w:cs="仿宋"/>
                <w:b/>
                <w:sz w:val="21"/>
                <w:szCs w:val="21"/>
              </w:rPr>
            </w:pPr>
            <w:r>
              <w:rPr>
                <w:rFonts w:hint="eastAsia" w:ascii="仿宋" w:hAnsi="仿宋" w:eastAsia="仿宋" w:cs="仿宋"/>
                <w:b/>
                <w:sz w:val="21"/>
                <w:szCs w:val="21"/>
              </w:rPr>
              <w:t>序号</w:t>
            </w:r>
          </w:p>
        </w:tc>
        <w:tc>
          <w:tcPr>
            <w:tcW w:w="485" w:type="pct"/>
            <w:noWrap/>
            <w:vAlign w:val="center"/>
          </w:tcPr>
          <w:p w14:paraId="456FE169">
            <w:pPr>
              <w:jc w:val="center"/>
              <w:rPr>
                <w:rFonts w:ascii="仿宋" w:hAnsi="仿宋" w:eastAsia="仿宋" w:cs="仿宋"/>
                <w:b/>
                <w:sz w:val="21"/>
                <w:szCs w:val="21"/>
              </w:rPr>
            </w:pPr>
            <w:r>
              <w:rPr>
                <w:rFonts w:hint="eastAsia" w:ascii="仿宋" w:hAnsi="仿宋" w:eastAsia="仿宋" w:cs="仿宋"/>
                <w:b/>
                <w:sz w:val="21"/>
                <w:szCs w:val="21"/>
              </w:rPr>
              <w:t>名称</w:t>
            </w:r>
          </w:p>
        </w:tc>
        <w:tc>
          <w:tcPr>
            <w:tcW w:w="1285" w:type="pct"/>
            <w:noWrap/>
            <w:vAlign w:val="center"/>
          </w:tcPr>
          <w:p w14:paraId="5E2FED5A">
            <w:pPr>
              <w:jc w:val="center"/>
              <w:rPr>
                <w:rFonts w:ascii="仿宋" w:hAnsi="仿宋" w:eastAsia="仿宋" w:cs="仿宋"/>
                <w:b/>
                <w:sz w:val="21"/>
                <w:szCs w:val="21"/>
              </w:rPr>
            </w:pPr>
            <w:r>
              <w:rPr>
                <w:rFonts w:hint="eastAsia" w:ascii="仿宋" w:hAnsi="仿宋" w:eastAsia="仿宋" w:cs="仿宋"/>
                <w:b/>
                <w:sz w:val="21"/>
                <w:szCs w:val="21"/>
              </w:rPr>
              <w:t>品牌、规格型号</w:t>
            </w:r>
          </w:p>
        </w:tc>
        <w:tc>
          <w:tcPr>
            <w:tcW w:w="645" w:type="pct"/>
            <w:noWrap/>
            <w:vAlign w:val="center"/>
          </w:tcPr>
          <w:p w14:paraId="71819EC0">
            <w:pPr>
              <w:jc w:val="center"/>
              <w:rPr>
                <w:rFonts w:ascii="仿宋" w:hAnsi="仿宋" w:eastAsia="仿宋" w:cs="仿宋"/>
                <w:b/>
                <w:sz w:val="21"/>
                <w:szCs w:val="21"/>
              </w:rPr>
            </w:pPr>
            <w:r>
              <w:rPr>
                <w:rFonts w:hint="eastAsia" w:ascii="仿宋" w:hAnsi="仿宋" w:eastAsia="仿宋" w:cs="仿宋"/>
                <w:b/>
                <w:sz w:val="21"/>
                <w:szCs w:val="21"/>
              </w:rPr>
              <w:t>制造商</w:t>
            </w:r>
          </w:p>
        </w:tc>
        <w:tc>
          <w:tcPr>
            <w:tcW w:w="645" w:type="pct"/>
            <w:noWrap/>
            <w:vAlign w:val="center"/>
          </w:tcPr>
          <w:p w14:paraId="43D6A64E">
            <w:pPr>
              <w:jc w:val="center"/>
              <w:rPr>
                <w:rFonts w:ascii="仿宋" w:hAnsi="仿宋" w:eastAsia="仿宋" w:cs="仿宋"/>
                <w:b/>
                <w:sz w:val="21"/>
                <w:szCs w:val="21"/>
              </w:rPr>
            </w:pPr>
            <w:r>
              <w:rPr>
                <w:rFonts w:hint="eastAsia" w:ascii="仿宋" w:hAnsi="仿宋" w:eastAsia="仿宋" w:cs="仿宋"/>
                <w:b/>
                <w:sz w:val="21"/>
                <w:szCs w:val="21"/>
              </w:rPr>
              <w:t>生产地</w:t>
            </w:r>
          </w:p>
        </w:tc>
        <w:tc>
          <w:tcPr>
            <w:tcW w:w="485" w:type="pct"/>
            <w:noWrap/>
            <w:vAlign w:val="center"/>
          </w:tcPr>
          <w:p w14:paraId="431E5D76">
            <w:pPr>
              <w:jc w:val="center"/>
              <w:rPr>
                <w:rFonts w:ascii="仿宋" w:hAnsi="仿宋" w:eastAsia="仿宋" w:cs="仿宋"/>
                <w:b/>
                <w:sz w:val="21"/>
                <w:szCs w:val="21"/>
              </w:rPr>
            </w:pPr>
            <w:r>
              <w:rPr>
                <w:rFonts w:hint="eastAsia" w:ascii="仿宋" w:hAnsi="仿宋" w:eastAsia="仿宋" w:cs="仿宋"/>
                <w:b/>
                <w:sz w:val="21"/>
                <w:szCs w:val="21"/>
              </w:rPr>
              <w:t>数量</w:t>
            </w:r>
          </w:p>
        </w:tc>
        <w:tc>
          <w:tcPr>
            <w:tcW w:w="485" w:type="pct"/>
            <w:noWrap/>
            <w:vAlign w:val="center"/>
          </w:tcPr>
          <w:p w14:paraId="7E6782CB">
            <w:pPr>
              <w:jc w:val="center"/>
              <w:rPr>
                <w:rFonts w:ascii="仿宋" w:hAnsi="仿宋" w:eastAsia="仿宋" w:cs="仿宋"/>
                <w:b/>
                <w:sz w:val="21"/>
                <w:szCs w:val="21"/>
              </w:rPr>
            </w:pPr>
            <w:r>
              <w:rPr>
                <w:rFonts w:hint="eastAsia" w:ascii="仿宋" w:hAnsi="仿宋" w:eastAsia="仿宋" w:cs="仿宋"/>
                <w:b/>
                <w:sz w:val="21"/>
                <w:szCs w:val="21"/>
              </w:rPr>
              <w:t>单价</w:t>
            </w:r>
          </w:p>
        </w:tc>
        <w:tc>
          <w:tcPr>
            <w:tcW w:w="485" w:type="pct"/>
            <w:noWrap/>
            <w:vAlign w:val="center"/>
          </w:tcPr>
          <w:p w14:paraId="67B22278">
            <w:pPr>
              <w:jc w:val="center"/>
              <w:rPr>
                <w:rFonts w:ascii="仿宋" w:hAnsi="仿宋" w:eastAsia="仿宋" w:cs="仿宋"/>
                <w:b/>
                <w:sz w:val="21"/>
                <w:szCs w:val="21"/>
              </w:rPr>
            </w:pPr>
            <w:r>
              <w:rPr>
                <w:rFonts w:hint="eastAsia" w:ascii="仿宋" w:hAnsi="仿宋" w:eastAsia="仿宋" w:cs="仿宋"/>
                <w:b/>
                <w:sz w:val="21"/>
                <w:szCs w:val="21"/>
              </w:rPr>
              <w:t>合计</w:t>
            </w:r>
          </w:p>
        </w:tc>
      </w:tr>
      <w:tr w14:paraId="67713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296E8E3B">
            <w:pPr>
              <w:pStyle w:val="8"/>
              <w:spacing w:line="240" w:lineRule="auto"/>
              <w:ind w:left="0"/>
              <w:jc w:val="center"/>
              <w:outlineLvl w:val="0"/>
              <w:rPr>
                <w:rFonts w:ascii="仿宋" w:hAnsi="仿宋" w:eastAsia="仿宋" w:cs="仿宋"/>
                <w:sz w:val="21"/>
                <w:szCs w:val="21"/>
              </w:rPr>
            </w:pPr>
            <w:bookmarkStart w:id="59" w:name="_Toc185868798"/>
            <w:bookmarkStart w:id="60" w:name="_Toc26701"/>
            <w:bookmarkStart w:id="61" w:name="_Toc198119911"/>
            <w:r>
              <w:rPr>
                <w:rFonts w:hint="eastAsia" w:ascii="仿宋" w:hAnsi="仿宋" w:eastAsia="仿宋" w:cs="仿宋"/>
                <w:sz w:val="21"/>
                <w:szCs w:val="21"/>
              </w:rPr>
              <w:t>1</w:t>
            </w:r>
            <w:bookmarkEnd w:id="59"/>
            <w:bookmarkEnd w:id="60"/>
            <w:bookmarkEnd w:id="61"/>
          </w:p>
        </w:tc>
        <w:tc>
          <w:tcPr>
            <w:tcW w:w="485" w:type="pct"/>
            <w:noWrap/>
            <w:vAlign w:val="center"/>
          </w:tcPr>
          <w:p w14:paraId="46C3FC8A">
            <w:pPr>
              <w:jc w:val="center"/>
              <w:rPr>
                <w:rFonts w:ascii="仿宋" w:hAnsi="仿宋" w:eastAsia="仿宋" w:cs="仿宋"/>
                <w:sz w:val="21"/>
                <w:szCs w:val="21"/>
              </w:rPr>
            </w:pPr>
          </w:p>
        </w:tc>
        <w:tc>
          <w:tcPr>
            <w:tcW w:w="1285" w:type="pct"/>
            <w:noWrap/>
          </w:tcPr>
          <w:p w14:paraId="189A9C61">
            <w:pPr>
              <w:jc w:val="center"/>
              <w:rPr>
                <w:rFonts w:ascii="仿宋" w:hAnsi="仿宋" w:eastAsia="仿宋" w:cs="仿宋"/>
                <w:sz w:val="21"/>
                <w:szCs w:val="21"/>
              </w:rPr>
            </w:pPr>
          </w:p>
        </w:tc>
        <w:tc>
          <w:tcPr>
            <w:tcW w:w="645" w:type="pct"/>
            <w:noWrap/>
          </w:tcPr>
          <w:p w14:paraId="1CCB1072">
            <w:pPr>
              <w:jc w:val="center"/>
              <w:rPr>
                <w:rFonts w:ascii="仿宋" w:hAnsi="仿宋" w:eastAsia="仿宋" w:cs="仿宋"/>
                <w:sz w:val="21"/>
                <w:szCs w:val="21"/>
              </w:rPr>
            </w:pPr>
          </w:p>
        </w:tc>
        <w:tc>
          <w:tcPr>
            <w:tcW w:w="645" w:type="pct"/>
            <w:noWrap/>
          </w:tcPr>
          <w:p w14:paraId="50176B40">
            <w:pPr>
              <w:jc w:val="center"/>
              <w:rPr>
                <w:rFonts w:ascii="仿宋" w:hAnsi="仿宋" w:eastAsia="仿宋" w:cs="仿宋"/>
                <w:sz w:val="21"/>
                <w:szCs w:val="21"/>
              </w:rPr>
            </w:pPr>
          </w:p>
        </w:tc>
        <w:tc>
          <w:tcPr>
            <w:tcW w:w="485" w:type="pct"/>
            <w:noWrap/>
            <w:vAlign w:val="center"/>
          </w:tcPr>
          <w:p w14:paraId="329CDAE2">
            <w:pPr>
              <w:jc w:val="center"/>
              <w:rPr>
                <w:rFonts w:ascii="仿宋" w:hAnsi="仿宋" w:eastAsia="仿宋" w:cs="仿宋"/>
                <w:sz w:val="21"/>
                <w:szCs w:val="21"/>
              </w:rPr>
            </w:pPr>
          </w:p>
        </w:tc>
        <w:tc>
          <w:tcPr>
            <w:tcW w:w="485" w:type="pct"/>
            <w:noWrap/>
          </w:tcPr>
          <w:p w14:paraId="13E964B5">
            <w:pPr>
              <w:jc w:val="center"/>
              <w:rPr>
                <w:rFonts w:ascii="仿宋" w:hAnsi="仿宋" w:eastAsia="仿宋" w:cs="仿宋"/>
                <w:sz w:val="21"/>
                <w:szCs w:val="21"/>
              </w:rPr>
            </w:pPr>
          </w:p>
        </w:tc>
        <w:tc>
          <w:tcPr>
            <w:tcW w:w="485" w:type="pct"/>
            <w:noWrap/>
          </w:tcPr>
          <w:p w14:paraId="3B9D86E4">
            <w:pPr>
              <w:jc w:val="center"/>
              <w:rPr>
                <w:rFonts w:ascii="仿宋" w:hAnsi="仿宋" w:eastAsia="仿宋" w:cs="仿宋"/>
                <w:sz w:val="21"/>
                <w:szCs w:val="21"/>
              </w:rPr>
            </w:pPr>
          </w:p>
        </w:tc>
      </w:tr>
      <w:tr w14:paraId="32F0C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438EF12F">
            <w:pPr>
              <w:pStyle w:val="8"/>
              <w:spacing w:line="240" w:lineRule="auto"/>
              <w:ind w:left="0"/>
              <w:jc w:val="center"/>
              <w:outlineLvl w:val="0"/>
              <w:rPr>
                <w:rFonts w:ascii="仿宋" w:hAnsi="仿宋" w:eastAsia="仿宋" w:cs="仿宋"/>
                <w:sz w:val="21"/>
                <w:szCs w:val="21"/>
              </w:rPr>
            </w:pPr>
            <w:bookmarkStart w:id="62" w:name="_Toc18898"/>
            <w:bookmarkStart w:id="63" w:name="_Toc185868799"/>
            <w:bookmarkStart w:id="64" w:name="_Toc198119912"/>
            <w:r>
              <w:rPr>
                <w:rFonts w:hint="eastAsia" w:ascii="仿宋" w:hAnsi="仿宋" w:eastAsia="仿宋" w:cs="仿宋"/>
                <w:sz w:val="21"/>
                <w:szCs w:val="21"/>
              </w:rPr>
              <w:t>2</w:t>
            </w:r>
            <w:bookmarkEnd w:id="62"/>
            <w:bookmarkEnd w:id="63"/>
            <w:bookmarkEnd w:id="64"/>
          </w:p>
        </w:tc>
        <w:tc>
          <w:tcPr>
            <w:tcW w:w="485" w:type="pct"/>
            <w:noWrap/>
            <w:vAlign w:val="center"/>
          </w:tcPr>
          <w:p w14:paraId="19E098F9">
            <w:pPr>
              <w:jc w:val="center"/>
              <w:rPr>
                <w:rFonts w:ascii="仿宋" w:hAnsi="仿宋" w:eastAsia="仿宋" w:cs="仿宋"/>
                <w:sz w:val="21"/>
                <w:szCs w:val="21"/>
              </w:rPr>
            </w:pPr>
          </w:p>
        </w:tc>
        <w:tc>
          <w:tcPr>
            <w:tcW w:w="1285" w:type="pct"/>
            <w:noWrap/>
          </w:tcPr>
          <w:p w14:paraId="08E1ACA0">
            <w:pPr>
              <w:jc w:val="center"/>
              <w:rPr>
                <w:rFonts w:ascii="仿宋" w:hAnsi="仿宋" w:eastAsia="仿宋" w:cs="仿宋"/>
                <w:sz w:val="21"/>
                <w:szCs w:val="21"/>
              </w:rPr>
            </w:pPr>
          </w:p>
        </w:tc>
        <w:tc>
          <w:tcPr>
            <w:tcW w:w="645" w:type="pct"/>
            <w:noWrap/>
          </w:tcPr>
          <w:p w14:paraId="479AECD7">
            <w:pPr>
              <w:jc w:val="center"/>
              <w:rPr>
                <w:rFonts w:ascii="仿宋" w:hAnsi="仿宋" w:eastAsia="仿宋" w:cs="仿宋"/>
                <w:sz w:val="21"/>
                <w:szCs w:val="21"/>
              </w:rPr>
            </w:pPr>
          </w:p>
        </w:tc>
        <w:tc>
          <w:tcPr>
            <w:tcW w:w="645" w:type="pct"/>
            <w:noWrap/>
          </w:tcPr>
          <w:p w14:paraId="7C226290">
            <w:pPr>
              <w:jc w:val="center"/>
              <w:rPr>
                <w:rFonts w:ascii="仿宋" w:hAnsi="仿宋" w:eastAsia="仿宋" w:cs="仿宋"/>
                <w:sz w:val="21"/>
                <w:szCs w:val="21"/>
              </w:rPr>
            </w:pPr>
          </w:p>
        </w:tc>
        <w:tc>
          <w:tcPr>
            <w:tcW w:w="485" w:type="pct"/>
            <w:noWrap/>
            <w:vAlign w:val="center"/>
          </w:tcPr>
          <w:p w14:paraId="2C9FB266">
            <w:pPr>
              <w:jc w:val="center"/>
              <w:rPr>
                <w:rFonts w:ascii="仿宋" w:hAnsi="仿宋" w:eastAsia="仿宋" w:cs="仿宋"/>
                <w:sz w:val="21"/>
                <w:szCs w:val="21"/>
              </w:rPr>
            </w:pPr>
          </w:p>
        </w:tc>
        <w:tc>
          <w:tcPr>
            <w:tcW w:w="485" w:type="pct"/>
            <w:noWrap/>
          </w:tcPr>
          <w:p w14:paraId="727DCEC0">
            <w:pPr>
              <w:jc w:val="center"/>
              <w:rPr>
                <w:rFonts w:ascii="仿宋" w:hAnsi="仿宋" w:eastAsia="仿宋" w:cs="仿宋"/>
                <w:sz w:val="21"/>
                <w:szCs w:val="21"/>
              </w:rPr>
            </w:pPr>
          </w:p>
        </w:tc>
        <w:tc>
          <w:tcPr>
            <w:tcW w:w="485" w:type="pct"/>
            <w:noWrap/>
          </w:tcPr>
          <w:p w14:paraId="31B398D3">
            <w:pPr>
              <w:jc w:val="center"/>
              <w:rPr>
                <w:rFonts w:ascii="仿宋" w:hAnsi="仿宋" w:eastAsia="仿宋" w:cs="仿宋"/>
                <w:sz w:val="21"/>
                <w:szCs w:val="21"/>
              </w:rPr>
            </w:pPr>
          </w:p>
        </w:tc>
      </w:tr>
      <w:tr w14:paraId="1BB0F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1AADC600">
            <w:pPr>
              <w:pStyle w:val="8"/>
              <w:spacing w:line="240" w:lineRule="auto"/>
              <w:ind w:left="0"/>
              <w:jc w:val="center"/>
              <w:outlineLvl w:val="0"/>
              <w:rPr>
                <w:rFonts w:ascii="仿宋" w:hAnsi="仿宋" w:eastAsia="仿宋" w:cs="仿宋"/>
                <w:sz w:val="21"/>
                <w:szCs w:val="21"/>
              </w:rPr>
            </w:pPr>
            <w:bookmarkStart w:id="65" w:name="_Toc198119913"/>
            <w:bookmarkStart w:id="66" w:name="_Toc11766"/>
            <w:bookmarkStart w:id="67" w:name="_Toc185868800"/>
            <w:r>
              <w:rPr>
                <w:rFonts w:hint="eastAsia" w:ascii="仿宋" w:hAnsi="仿宋" w:eastAsia="仿宋" w:cs="仿宋"/>
                <w:sz w:val="21"/>
                <w:szCs w:val="21"/>
              </w:rPr>
              <w:t>3</w:t>
            </w:r>
            <w:bookmarkEnd w:id="65"/>
            <w:bookmarkEnd w:id="66"/>
            <w:bookmarkEnd w:id="67"/>
          </w:p>
        </w:tc>
        <w:tc>
          <w:tcPr>
            <w:tcW w:w="485" w:type="pct"/>
            <w:noWrap/>
            <w:vAlign w:val="center"/>
          </w:tcPr>
          <w:p w14:paraId="2159C9CA">
            <w:pPr>
              <w:jc w:val="center"/>
              <w:rPr>
                <w:rFonts w:ascii="仿宋" w:hAnsi="仿宋" w:eastAsia="仿宋" w:cs="仿宋"/>
                <w:sz w:val="21"/>
                <w:szCs w:val="21"/>
              </w:rPr>
            </w:pPr>
          </w:p>
        </w:tc>
        <w:tc>
          <w:tcPr>
            <w:tcW w:w="1285" w:type="pct"/>
            <w:noWrap/>
          </w:tcPr>
          <w:p w14:paraId="3FC2EF38">
            <w:pPr>
              <w:jc w:val="center"/>
              <w:rPr>
                <w:rFonts w:ascii="仿宋" w:hAnsi="仿宋" w:eastAsia="仿宋" w:cs="仿宋"/>
                <w:sz w:val="21"/>
                <w:szCs w:val="21"/>
              </w:rPr>
            </w:pPr>
          </w:p>
        </w:tc>
        <w:tc>
          <w:tcPr>
            <w:tcW w:w="645" w:type="pct"/>
            <w:noWrap/>
          </w:tcPr>
          <w:p w14:paraId="4DAA4216">
            <w:pPr>
              <w:jc w:val="center"/>
              <w:rPr>
                <w:rFonts w:ascii="仿宋" w:hAnsi="仿宋" w:eastAsia="仿宋" w:cs="仿宋"/>
                <w:sz w:val="21"/>
                <w:szCs w:val="21"/>
              </w:rPr>
            </w:pPr>
          </w:p>
        </w:tc>
        <w:tc>
          <w:tcPr>
            <w:tcW w:w="645" w:type="pct"/>
            <w:noWrap/>
          </w:tcPr>
          <w:p w14:paraId="706642E5">
            <w:pPr>
              <w:jc w:val="center"/>
              <w:rPr>
                <w:rFonts w:ascii="仿宋" w:hAnsi="仿宋" w:eastAsia="仿宋" w:cs="仿宋"/>
                <w:sz w:val="21"/>
                <w:szCs w:val="21"/>
              </w:rPr>
            </w:pPr>
          </w:p>
        </w:tc>
        <w:tc>
          <w:tcPr>
            <w:tcW w:w="485" w:type="pct"/>
            <w:noWrap/>
            <w:vAlign w:val="center"/>
          </w:tcPr>
          <w:p w14:paraId="14C5B184">
            <w:pPr>
              <w:jc w:val="center"/>
              <w:rPr>
                <w:rFonts w:ascii="仿宋" w:hAnsi="仿宋" w:eastAsia="仿宋" w:cs="仿宋"/>
                <w:sz w:val="21"/>
                <w:szCs w:val="21"/>
              </w:rPr>
            </w:pPr>
          </w:p>
        </w:tc>
        <w:tc>
          <w:tcPr>
            <w:tcW w:w="485" w:type="pct"/>
            <w:noWrap/>
          </w:tcPr>
          <w:p w14:paraId="2C0A6592">
            <w:pPr>
              <w:jc w:val="center"/>
              <w:rPr>
                <w:rFonts w:ascii="仿宋" w:hAnsi="仿宋" w:eastAsia="仿宋" w:cs="仿宋"/>
                <w:sz w:val="21"/>
                <w:szCs w:val="21"/>
              </w:rPr>
            </w:pPr>
          </w:p>
        </w:tc>
        <w:tc>
          <w:tcPr>
            <w:tcW w:w="485" w:type="pct"/>
            <w:noWrap/>
          </w:tcPr>
          <w:p w14:paraId="23E8D74F">
            <w:pPr>
              <w:jc w:val="center"/>
              <w:rPr>
                <w:rFonts w:ascii="仿宋" w:hAnsi="仿宋" w:eastAsia="仿宋" w:cs="仿宋"/>
                <w:sz w:val="21"/>
                <w:szCs w:val="21"/>
              </w:rPr>
            </w:pPr>
          </w:p>
        </w:tc>
      </w:tr>
      <w:tr w14:paraId="61231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17B82C58">
            <w:pPr>
              <w:pStyle w:val="8"/>
              <w:spacing w:line="240" w:lineRule="auto"/>
              <w:ind w:left="0"/>
              <w:jc w:val="center"/>
              <w:outlineLvl w:val="0"/>
              <w:rPr>
                <w:rFonts w:ascii="仿宋" w:hAnsi="仿宋" w:eastAsia="仿宋" w:cs="仿宋"/>
                <w:sz w:val="21"/>
                <w:szCs w:val="21"/>
              </w:rPr>
            </w:pPr>
            <w:bookmarkStart w:id="68" w:name="_Toc185868801"/>
            <w:bookmarkStart w:id="69" w:name="_Toc198119914"/>
            <w:bookmarkStart w:id="70" w:name="_Toc16219"/>
            <w:r>
              <w:rPr>
                <w:rFonts w:hint="eastAsia" w:ascii="仿宋" w:hAnsi="仿宋" w:eastAsia="仿宋" w:cs="仿宋"/>
                <w:sz w:val="21"/>
                <w:szCs w:val="21"/>
              </w:rPr>
              <w:t>4</w:t>
            </w:r>
            <w:bookmarkEnd w:id="68"/>
            <w:bookmarkEnd w:id="69"/>
            <w:bookmarkEnd w:id="70"/>
          </w:p>
        </w:tc>
        <w:tc>
          <w:tcPr>
            <w:tcW w:w="485" w:type="pct"/>
            <w:noWrap/>
            <w:vAlign w:val="center"/>
          </w:tcPr>
          <w:p w14:paraId="3817B76E">
            <w:pPr>
              <w:jc w:val="center"/>
              <w:rPr>
                <w:rFonts w:ascii="仿宋" w:hAnsi="仿宋" w:eastAsia="仿宋" w:cs="仿宋"/>
                <w:sz w:val="21"/>
                <w:szCs w:val="21"/>
              </w:rPr>
            </w:pPr>
          </w:p>
        </w:tc>
        <w:tc>
          <w:tcPr>
            <w:tcW w:w="1285" w:type="pct"/>
            <w:noWrap/>
          </w:tcPr>
          <w:p w14:paraId="14A39BDD">
            <w:pPr>
              <w:jc w:val="center"/>
              <w:rPr>
                <w:rFonts w:ascii="仿宋" w:hAnsi="仿宋" w:eastAsia="仿宋" w:cs="仿宋"/>
                <w:sz w:val="21"/>
                <w:szCs w:val="21"/>
              </w:rPr>
            </w:pPr>
          </w:p>
        </w:tc>
        <w:tc>
          <w:tcPr>
            <w:tcW w:w="645" w:type="pct"/>
            <w:noWrap/>
          </w:tcPr>
          <w:p w14:paraId="23457D39">
            <w:pPr>
              <w:jc w:val="center"/>
              <w:rPr>
                <w:rFonts w:ascii="仿宋" w:hAnsi="仿宋" w:eastAsia="仿宋" w:cs="仿宋"/>
                <w:sz w:val="21"/>
                <w:szCs w:val="21"/>
              </w:rPr>
            </w:pPr>
          </w:p>
        </w:tc>
        <w:tc>
          <w:tcPr>
            <w:tcW w:w="645" w:type="pct"/>
            <w:noWrap/>
          </w:tcPr>
          <w:p w14:paraId="1C194F10">
            <w:pPr>
              <w:jc w:val="center"/>
              <w:rPr>
                <w:rFonts w:ascii="仿宋" w:hAnsi="仿宋" w:eastAsia="仿宋" w:cs="仿宋"/>
                <w:sz w:val="21"/>
                <w:szCs w:val="21"/>
              </w:rPr>
            </w:pPr>
          </w:p>
        </w:tc>
        <w:tc>
          <w:tcPr>
            <w:tcW w:w="485" w:type="pct"/>
            <w:noWrap/>
            <w:vAlign w:val="center"/>
          </w:tcPr>
          <w:p w14:paraId="0747AC23">
            <w:pPr>
              <w:jc w:val="center"/>
              <w:rPr>
                <w:rFonts w:ascii="仿宋" w:hAnsi="仿宋" w:eastAsia="仿宋" w:cs="仿宋"/>
                <w:sz w:val="21"/>
                <w:szCs w:val="21"/>
              </w:rPr>
            </w:pPr>
          </w:p>
        </w:tc>
        <w:tc>
          <w:tcPr>
            <w:tcW w:w="485" w:type="pct"/>
            <w:noWrap/>
          </w:tcPr>
          <w:p w14:paraId="03FB83B9">
            <w:pPr>
              <w:jc w:val="center"/>
              <w:rPr>
                <w:rFonts w:ascii="仿宋" w:hAnsi="仿宋" w:eastAsia="仿宋" w:cs="仿宋"/>
                <w:sz w:val="21"/>
                <w:szCs w:val="21"/>
              </w:rPr>
            </w:pPr>
          </w:p>
        </w:tc>
        <w:tc>
          <w:tcPr>
            <w:tcW w:w="485" w:type="pct"/>
            <w:noWrap/>
          </w:tcPr>
          <w:p w14:paraId="731654D8">
            <w:pPr>
              <w:jc w:val="center"/>
              <w:rPr>
                <w:rFonts w:ascii="仿宋" w:hAnsi="仿宋" w:eastAsia="仿宋" w:cs="仿宋"/>
                <w:sz w:val="21"/>
                <w:szCs w:val="21"/>
              </w:rPr>
            </w:pPr>
          </w:p>
        </w:tc>
      </w:tr>
      <w:tr w14:paraId="0C12D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27D2CBE1">
            <w:pPr>
              <w:pStyle w:val="8"/>
              <w:spacing w:line="240" w:lineRule="auto"/>
              <w:ind w:left="0"/>
              <w:jc w:val="center"/>
              <w:outlineLvl w:val="0"/>
              <w:rPr>
                <w:rFonts w:ascii="仿宋" w:hAnsi="仿宋" w:eastAsia="仿宋" w:cs="仿宋"/>
                <w:sz w:val="21"/>
                <w:szCs w:val="21"/>
              </w:rPr>
            </w:pPr>
            <w:bookmarkStart w:id="71" w:name="_Toc185868802"/>
            <w:bookmarkStart w:id="72" w:name="_Toc2539"/>
            <w:bookmarkStart w:id="73" w:name="_Toc198119915"/>
            <w:r>
              <w:rPr>
                <w:rFonts w:hint="eastAsia" w:ascii="仿宋" w:hAnsi="仿宋" w:eastAsia="仿宋" w:cs="仿宋"/>
                <w:sz w:val="21"/>
                <w:szCs w:val="21"/>
              </w:rPr>
              <w:t>5</w:t>
            </w:r>
            <w:bookmarkEnd w:id="71"/>
            <w:bookmarkEnd w:id="72"/>
            <w:bookmarkEnd w:id="73"/>
          </w:p>
        </w:tc>
        <w:tc>
          <w:tcPr>
            <w:tcW w:w="485" w:type="pct"/>
            <w:noWrap/>
            <w:vAlign w:val="center"/>
          </w:tcPr>
          <w:p w14:paraId="2037BC29">
            <w:pPr>
              <w:jc w:val="center"/>
              <w:rPr>
                <w:rFonts w:ascii="仿宋" w:hAnsi="仿宋" w:eastAsia="仿宋" w:cs="仿宋"/>
                <w:sz w:val="21"/>
                <w:szCs w:val="21"/>
              </w:rPr>
            </w:pPr>
          </w:p>
        </w:tc>
        <w:tc>
          <w:tcPr>
            <w:tcW w:w="1285" w:type="pct"/>
            <w:noWrap/>
          </w:tcPr>
          <w:p w14:paraId="0F9E143D">
            <w:pPr>
              <w:jc w:val="center"/>
              <w:rPr>
                <w:rFonts w:ascii="仿宋" w:hAnsi="仿宋" w:eastAsia="仿宋" w:cs="仿宋"/>
                <w:sz w:val="21"/>
                <w:szCs w:val="21"/>
              </w:rPr>
            </w:pPr>
          </w:p>
        </w:tc>
        <w:tc>
          <w:tcPr>
            <w:tcW w:w="645" w:type="pct"/>
            <w:noWrap/>
          </w:tcPr>
          <w:p w14:paraId="2760EF7D">
            <w:pPr>
              <w:jc w:val="center"/>
              <w:rPr>
                <w:rFonts w:ascii="仿宋" w:hAnsi="仿宋" w:eastAsia="仿宋" w:cs="仿宋"/>
                <w:sz w:val="21"/>
                <w:szCs w:val="21"/>
              </w:rPr>
            </w:pPr>
          </w:p>
        </w:tc>
        <w:tc>
          <w:tcPr>
            <w:tcW w:w="645" w:type="pct"/>
            <w:noWrap/>
          </w:tcPr>
          <w:p w14:paraId="5B73EC2B">
            <w:pPr>
              <w:jc w:val="center"/>
              <w:rPr>
                <w:rFonts w:ascii="仿宋" w:hAnsi="仿宋" w:eastAsia="仿宋" w:cs="仿宋"/>
                <w:sz w:val="21"/>
                <w:szCs w:val="21"/>
              </w:rPr>
            </w:pPr>
          </w:p>
        </w:tc>
        <w:tc>
          <w:tcPr>
            <w:tcW w:w="485" w:type="pct"/>
            <w:noWrap/>
            <w:vAlign w:val="center"/>
          </w:tcPr>
          <w:p w14:paraId="62E220C0">
            <w:pPr>
              <w:jc w:val="center"/>
              <w:rPr>
                <w:rFonts w:ascii="仿宋" w:hAnsi="仿宋" w:eastAsia="仿宋" w:cs="仿宋"/>
                <w:sz w:val="21"/>
                <w:szCs w:val="21"/>
              </w:rPr>
            </w:pPr>
          </w:p>
        </w:tc>
        <w:tc>
          <w:tcPr>
            <w:tcW w:w="485" w:type="pct"/>
            <w:noWrap/>
          </w:tcPr>
          <w:p w14:paraId="4E2B91FB">
            <w:pPr>
              <w:jc w:val="center"/>
              <w:rPr>
                <w:rFonts w:ascii="仿宋" w:hAnsi="仿宋" w:eastAsia="仿宋" w:cs="仿宋"/>
                <w:sz w:val="21"/>
                <w:szCs w:val="21"/>
              </w:rPr>
            </w:pPr>
          </w:p>
        </w:tc>
        <w:tc>
          <w:tcPr>
            <w:tcW w:w="485" w:type="pct"/>
            <w:noWrap/>
          </w:tcPr>
          <w:p w14:paraId="0C5C6500">
            <w:pPr>
              <w:jc w:val="center"/>
              <w:rPr>
                <w:rFonts w:ascii="仿宋" w:hAnsi="仿宋" w:eastAsia="仿宋" w:cs="仿宋"/>
                <w:sz w:val="21"/>
                <w:szCs w:val="21"/>
              </w:rPr>
            </w:pPr>
          </w:p>
        </w:tc>
      </w:tr>
      <w:tr w14:paraId="71BD0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203F708C">
            <w:pPr>
              <w:pStyle w:val="8"/>
              <w:spacing w:line="240" w:lineRule="auto"/>
              <w:ind w:left="0"/>
              <w:jc w:val="center"/>
              <w:outlineLvl w:val="0"/>
              <w:rPr>
                <w:rFonts w:ascii="仿宋" w:hAnsi="仿宋" w:eastAsia="仿宋" w:cs="仿宋"/>
                <w:sz w:val="21"/>
                <w:szCs w:val="21"/>
              </w:rPr>
            </w:pPr>
            <w:bookmarkStart w:id="74" w:name="_Toc17774"/>
            <w:bookmarkStart w:id="75" w:name="_Toc185868803"/>
            <w:bookmarkStart w:id="76" w:name="_Toc198119916"/>
            <w:r>
              <w:rPr>
                <w:rFonts w:hint="eastAsia" w:ascii="仿宋" w:hAnsi="仿宋" w:eastAsia="仿宋" w:cs="仿宋"/>
                <w:sz w:val="21"/>
                <w:szCs w:val="21"/>
              </w:rPr>
              <w:t>6</w:t>
            </w:r>
            <w:bookmarkEnd w:id="74"/>
            <w:bookmarkEnd w:id="75"/>
            <w:bookmarkEnd w:id="76"/>
          </w:p>
        </w:tc>
        <w:tc>
          <w:tcPr>
            <w:tcW w:w="485" w:type="pct"/>
            <w:noWrap/>
            <w:vAlign w:val="center"/>
          </w:tcPr>
          <w:p w14:paraId="4DC59EE9">
            <w:pPr>
              <w:jc w:val="center"/>
              <w:rPr>
                <w:rFonts w:ascii="仿宋" w:hAnsi="仿宋" w:eastAsia="仿宋" w:cs="仿宋"/>
                <w:sz w:val="21"/>
                <w:szCs w:val="21"/>
              </w:rPr>
            </w:pPr>
          </w:p>
        </w:tc>
        <w:tc>
          <w:tcPr>
            <w:tcW w:w="1285" w:type="pct"/>
            <w:noWrap/>
          </w:tcPr>
          <w:p w14:paraId="68195D8C">
            <w:pPr>
              <w:jc w:val="center"/>
              <w:rPr>
                <w:rFonts w:ascii="仿宋" w:hAnsi="仿宋" w:eastAsia="仿宋" w:cs="仿宋"/>
                <w:sz w:val="21"/>
                <w:szCs w:val="21"/>
              </w:rPr>
            </w:pPr>
          </w:p>
        </w:tc>
        <w:tc>
          <w:tcPr>
            <w:tcW w:w="645" w:type="pct"/>
            <w:noWrap/>
          </w:tcPr>
          <w:p w14:paraId="18AAD508">
            <w:pPr>
              <w:jc w:val="center"/>
              <w:rPr>
                <w:rFonts w:ascii="仿宋" w:hAnsi="仿宋" w:eastAsia="仿宋" w:cs="仿宋"/>
                <w:sz w:val="21"/>
                <w:szCs w:val="21"/>
              </w:rPr>
            </w:pPr>
          </w:p>
        </w:tc>
        <w:tc>
          <w:tcPr>
            <w:tcW w:w="645" w:type="pct"/>
            <w:noWrap/>
          </w:tcPr>
          <w:p w14:paraId="64404AEB">
            <w:pPr>
              <w:jc w:val="center"/>
              <w:rPr>
                <w:rFonts w:ascii="仿宋" w:hAnsi="仿宋" w:eastAsia="仿宋" w:cs="仿宋"/>
                <w:sz w:val="21"/>
                <w:szCs w:val="21"/>
              </w:rPr>
            </w:pPr>
          </w:p>
        </w:tc>
        <w:tc>
          <w:tcPr>
            <w:tcW w:w="485" w:type="pct"/>
            <w:noWrap/>
            <w:vAlign w:val="center"/>
          </w:tcPr>
          <w:p w14:paraId="2B8192D9">
            <w:pPr>
              <w:jc w:val="center"/>
              <w:rPr>
                <w:rFonts w:ascii="仿宋" w:hAnsi="仿宋" w:eastAsia="仿宋" w:cs="仿宋"/>
                <w:sz w:val="21"/>
                <w:szCs w:val="21"/>
              </w:rPr>
            </w:pPr>
          </w:p>
        </w:tc>
        <w:tc>
          <w:tcPr>
            <w:tcW w:w="485" w:type="pct"/>
            <w:noWrap/>
          </w:tcPr>
          <w:p w14:paraId="4A04FA5D">
            <w:pPr>
              <w:jc w:val="center"/>
              <w:rPr>
                <w:rFonts w:ascii="仿宋" w:hAnsi="仿宋" w:eastAsia="仿宋" w:cs="仿宋"/>
                <w:sz w:val="21"/>
                <w:szCs w:val="21"/>
              </w:rPr>
            </w:pPr>
          </w:p>
        </w:tc>
        <w:tc>
          <w:tcPr>
            <w:tcW w:w="485" w:type="pct"/>
            <w:noWrap/>
          </w:tcPr>
          <w:p w14:paraId="701E17CE">
            <w:pPr>
              <w:jc w:val="center"/>
              <w:rPr>
                <w:rFonts w:ascii="仿宋" w:hAnsi="仿宋" w:eastAsia="仿宋" w:cs="仿宋"/>
                <w:sz w:val="21"/>
                <w:szCs w:val="21"/>
              </w:rPr>
            </w:pPr>
          </w:p>
        </w:tc>
      </w:tr>
      <w:tr w14:paraId="346B3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23FD6FE4">
            <w:pPr>
              <w:pStyle w:val="8"/>
              <w:spacing w:line="240" w:lineRule="auto"/>
              <w:ind w:left="0"/>
              <w:jc w:val="center"/>
              <w:outlineLvl w:val="0"/>
              <w:rPr>
                <w:rFonts w:ascii="仿宋" w:hAnsi="仿宋" w:eastAsia="仿宋" w:cs="仿宋"/>
                <w:sz w:val="21"/>
                <w:szCs w:val="21"/>
              </w:rPr>
            </w:pPr>
            <w:bookmarkStart w:id="77" w:name="_Toc185868804"/>
            <w:bookmarkStart w:id="78" w:name="_Toc198119917"/>
            <w:bookmarkStart w:id="79" w:name="_Toc15102"/>
            <w:r>
              <w:rPr>
                <w:rFonts w:hint="eastAsia" w:ascii="仿宋" w:hAnsi="仿宋" w:eastAsia="仿宋" w:cs="仿宋"/>
                <w:sz w:val="21"/>
                <w:szCs w:val="21"/>
              </w:rPr>
              <w:t>7</w:t>
            </w:r>
            <w:bookmarkEnd w:id="77"/>
            <w:bookmarkEnd w:id="78"/>
            <w:bookmarkEnd w:id="79"/>
          </w:p>
        </w:tc>
        <w:tc>
          <w:tcPr>
            <w:tcW w:w="485" w:type="pct"/>
            <w:noWrap/>
            <w:vAlign w:val="center"/>
          </w:tcPr>
          <w:p w14:paraId="0E043FC1">
            <w:pPr>
              <w:jc w:val="center"/>
              <w:rPr>
                <w:rFonts w:ascii="仿宋" w:hAnsi="仿宋" w:eastAsia="仿宋" w:cs="仿宋"/>
                <w:sz w:val="21"/>
                <w:szCs w:val="21"/>
              </w:rPr>
            </w:pPr>
          </w:p>
        </w:tc>
        <w:tc>
          <w:tcPr>
            <w:tcW w:w="1285" w:type="pct"/>
            <w:noWrap/>
          </w:tcPr>
          <w:p w14:paraId="0A857B6D">
            <w:pPr>
              <w:jc w:val="center"/>
              <w:rPr>
                <w:rFonts w:ascii="仿宋" w:hAnsi="仿宋" w:eastAsia="仿宋" w:cs="仿宋"/>
                <w:sz w:val="21"/>
                <w:szCs w:val="21"/>
              </w:rPr>
            </w:pPr>
          </w:p>
        </w:tc>
        <w:tc>
          <w:tcPr>
            <w:tcW w:w="645" w:type="pct"/>
            <w:noWrap/>
          </w:tcPr>
          <w:p w14:paraId="645C4FF9">
            <w:pPr>
              <w:jc w:val="center"/>
              <w:rPr>
                <w:rFonts w:ascii="仿宋" w:hAnsi="仿宋" w:eastAsia="仿宋" w:cs="仿宋"/>
                <w:sz w:val="21"/>
                <w:szCs w:val="21"/>
              </w:rPr>
            </w:pPr>
          </w:p>
        </w:tc>
        <w:tc>
          <w:tcPr>
            <w:tcW w:w="645" w:type="pct"/>
            <w:noWrap/>
          </w:tcPr>
          <w:p w14:paraId="64A8DCD9">
            <w:pPr>
              <w:jc w:val="center"/>
              <w:rPr>
                <w:rFonts w:ascii="仿宋" w:hAnsi="仿宋" w:eastAsia="仿宋" w:cs="仿宋"/>
                <w:sz w:val="21"/>
                <w:szCs w:val="21"/>
              </w:rPr>
            </w:pPr>
          </w:p>
        </w:tc>
        <w:tc>
          <w:tcPr>
            <w:tcW w:w="485" w:type="pct"/>
            <w:noWrap/>
            <w:vAlign w:val="center"/>
          </w:tcPr>
          <w:p w14:paraId="145E2DB0">
            <w:pPr>
              <w:jc w:val="center"/>
              <w:rPr>
                <w:rFonts w:ascii="仿宋" w:hAnsi="仿宋" w:eastAsia="仿宋" w:cs="仿宋"/>
                <w:sz w:val="21"/>
                <w:szCs w:val="21"/>
              </w:rPr>
            </w:pPr>
          </w:p>
        </w:tc>
        <w:tc>
          <w:tcPr>
            <w:tcW w:w="485" w:type="pct"/>
            <w:noWrap/>
          </w:tcPr>
          <w:p w14:paraId="28377958">
            <w:pPr>
              <w:jc w:val="center"/>
              <w:rPr>
                <w:rFonts w:ascii="仿宋" w:hAnsi="仿宋" w:eastAsia="仿宋" w:cs="仿宋"/>
                <w:sz w:val="21"/>
                <w:szCs w:val="21"/>
              </w:rPr>
            </w:pPr>
          </w:p>
        </w:tc>
        <w:tc>
          <w:tcPr>
            <w:tcW w:w="485" w:type="pct"/>
            <w:noWrap/>
          </w:tcPr>
          <w:p w14:paraId="63F42E6C">
            <w:pPr>
              <w:jc w:val="center"/>
              <w:rPr>
                <w:rFonts w:ascii="仿宋" w:hAnsi="仿宋" w:eastAsia="仿宋" w:cs="仿宋"/>
                <w:sz w:val="21"/>
                <w:szCs w:val="21"/>
              </w:rPr>
            </w:pPr>
          </w:p>
        </w:tc>
      </w:tr>
      <w:tr w14:paraId="3A6B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515D860F">
            <w:pPr>
              <w:pStyle w:val="8"/>
              <w:spacing w:line="240" w:lineRule="auto"/>
              <w:ind w:left="0"/>
              <w:jc w:val="center"/>
              <w:outlineLvl w:val="0"/>
              <w:rPr>
                <w:rFonts w:ascii="仿宋" w:hAnsi="仿宋" w:eastAsia="仿宋" w:cs="仿宋"/>
                <w:sz w:val="21"/>
                <w:szCs w:val="21"/>
              </w:rPr>
            </w:pPr>
            <w:bookmarkStart w:id="80" w:name="_Toc185868805"/>
            <w:bookmarkStart w:id="81" w:name="_Toc198119918"/>
            <w:bookmarkStart w:id="82" w:name="_Toc13559"/>
            <w:r>
              <w:rPr>
                <w:rFonts w:hint="eastAsia" w:ascii="仿宋" w:hAnsi="仿宋" w:eastAsia="仿宋" w:cs="仿宋"/>
                <w:sz w:val="21"/>
                <w:szCs w:val="21"/>
              </w:rPr>
              <w:t>8</w:t>
            </w:r>
            <w:bookmarkEnd w:id="80"/>
            <w:bookmarkEnd w:id="81"/>
            <w:bookmarkEnd w:id="82"/>
          </w:p>
        </w:tc>
        <w:tc>
          <w:tcPr>
            <w:tcW w:w="485" w:type="pct"/>
            <w:noWrap/>
            <w:vAlign w:val="center"/>
          </w:tcPr>
          <w:p w14:paraId="06B26C53">
            <w:pPr>
              <w:jc w:val="center"/>
              <w:rPr>
                <w:rFonts w:ascii="仿宋" w:hAnsi="仿宋" w:eastAsia="仿宋" w:cs="仿宋"/>
                <w:sz w:val="21"/>
                <w:szCs w:val="21"/>
              </w:rPr>
            </w:pPr>
          </w:p>
        </w:tc>
        <w:tc>
          <w:tcPr>
            <w:tcW w:w="1285" w:type="pct"/>
            <w:noWrap/>
          </w:tcPr>
          <w:p w14:paraId="1615DF88">
            <w:pPr>
              <w:jc w:val="center"/>
              <w:rPr>
                <w:rFonts w:ascii="仿宋" w:hAnsi="仿宋" w:eastAsia="仿宋" w:cs="仿宋"/>
                <w:sz w:val="21"/>
                <w:szCs w:val="21"/>
              </w:rPr>
            </w:pPr>
          </w:p>
        </w:tc>
        <w:tc>
          <w:tcPr>
            <w:tcW w:w="645" w:type="pct"/>
            <w:noWrap/>
          </w:tcPr>
          <w:p w14:paraId="2934ABD7">
            <w:pPr>
              <w:jc w:val="center"/>
              <w:rPr>
                <w:rFonts w:ascii="仿宋" w:hAnsi="仿宋" w:eastAsia="仿宋" w:cs="仿宋"/>
                <w:sz w:val="21"/>
                <w:szCs w:val="21"/>
              </w:rPr>
            </w:pPr>
          </w:p>
        </w:tc>
        <w:tc>
          <w:tcPr>
            <w:tcW w:w="645" w:type="pct"/>
            <w:noWrap/>
          </w:tcPr>
          <w:p w14:paraId="4809A27E">
            <w:pPr>
              <w:jc w:val="center"/>
              <w:rPr>
                <w:rFonts w:ascii="仿宋" w:hAnsi="仿宋" w:eastAsia="仿宋" w:cs="仿宋"/>
                <w:sz w:val="21"/>
                <w:szCs w:val="21"/>
              </w:rPr>
            </w:pPr>
          </w:p>
        </w:tc>
        <w:tc>
          <w:tcPr>
            <w:tcW w:w="485" w:type="pct"/>
            <w:noWrap/>
            <w:vAlign w:val="center"/>
          </w:tcPr>
          <w:p w14:paraId="7970E70D">
            <w:pPr>
              <w:jc w:val="center"/>
              <w:rPr>
                <w:rFonts w:ascii="仿宋" w:hAnsi="仿宋" w:eastAsia="仿宋" w:cs="仿宋"/>
                <w:sz w:val="21"/>
                <w:szCs w:val="21"/>
              </w:rPr>
            </w:pPr>
            <w:r>
              <w:rPr>
                <w:rFonts w:hint="eastAsia" w:ascii="仿宋" w:hAnsi="仿宋" w:eastAsia="仿宋" w:cs="仿宋"/>
                <w:sz w:val="21"/>
                <w:szCs w:val="21"/>
              </w:rPr>
              <w:t>/</w:t>
            </w:r>
          </w:p>
        </w:tc>
        <w:tc>
          <w:tcPr>
            <w:tcW w:w="485" w:type="pct"/>
            <w:noWrap/>
          </w:tcPr>
          <w:p w14:paraId="43BEB561">
            <w:pPr>
              <w:jc w:val="center"/>
              <w:rPr>
                <w:rFonts w:ascii="仿宋" w:hAnsi="仿宋" w:eastAsia="仿宋" w:cs="仿宋"/>
                <w:sz w:val="21"/>
                <w:szCs w:val="21"/>
              </w:rPr>
            </w:pPr>
          </w:p>
        </w:tc>
        <w:tc>
          <w:tcPr>
            <w:tcW w:w="485" w:type="pct"/>
            <w:noWrap/>
          </w:tcPr>
          <w:p w14:paraId="67143992">
            <w:pPr>
              <w:jc w:val="center"/>
              <w:rPr>
                <w:rFonts w:ascii="仿宋" w:hAnsi="仿宋" w:eastAsia="仿宋" w:cs="仿宋"/>
                <w:sz w:val="21"/>
                <w:szCs w:val="21"/>
              </w:rPr>
            </w:pPr>
          </w:p>
        </w:tc>
      </w:tr>
      <w:tr w14:paraId="365B9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4FB118D6">
            <w:pPr>
              <w:pStyle w:val="8"/>
              <w:spacing w:line="240" w:lineRule="auto"/>
              <w:ind w:left="0"/>
              <w:jc w:val="center"/>
              <w:outlineLvl w:val="0"/>
              <w:rPr>
                <w:rFonts w:ascii="仿宋" w:hAnsi="仿宋" w:eastAsia="仿宋" w:cs="仿宋"/>
                <w:sz w:val="21"/>
                <w:szCs w:val="21"/>
              </w:rPr>
            </w:pPr>
            <w:bookmarkStart w:id="83" w:name="_Toc185868806"/>
            <w:bookmarkStart w:id="84" w:name="_Toc198119919"/>
            <w:bookmarkStart w:id="85" w:name="_Toc32323"/>
            <w:r>
              <w:rPr>
                <w:rFonts w:hint="eastAsia" w:ascii="仿宋" w:hAnsi="仿宋" w:eastAsia="仿宋" w:cs="仿宋"/>
                <w:sz w:val="21"/>
                <w:szCs w:val="21"/>
              </w:rPr>
              <w:t>9</w:t>
            </w:r>
            <w:bookmarkEnd w:id="83"/>
            <w:bookmarkEnd w:id="84"/>
            <w:bookmarkEnd w:id="85"/>
          </w:p>
        </w:tc>
        <w:tc>
          <w:tcPr>
            <w:tcW w:w="485" w:type="pct"/>
            <w:noWrap/>
            <w:vAlign w:val="center"/>
          </w:tcPr>
          <w:p w14:paraId="73872E5F">
            <w:pPr>
              <w:jc w:val="center"/>
              <w:rPr>
                <w:rFonts w:ascii="仿宋" w:hAnsi="仿宋" w:eastAsia="仿宋" w:cs="仿宋"/>
                <w:sz w:val="21"/>
                <w:szCs w:val="21"/>
              </w:rPr>
            </w:pPr>
          </w:p>
        </w:tc>
        <w:tc>
          <w:tcPr>
            <w:tcW w:w="1285" w:type="pct"/>
            <w:noWrap/>
          </w:tcPr>
          <w:p w14:paraId="1F877A79">
            <w:pPr>
              <w:jc w:val="center"/>
              <w:rPr>
                <w:rFonts w:ascii="仿宋" w:hAnsi="仿宋" w:eastAsia="仿宋" w:cs="仿宋"/>
                <w:sz w:val="21"/>
                <w:szCs w:val="21"/>
              </w:rPr>
            </w:pPr>
          </w:p>
        </w:tc>
        <w:tc>
          <w:tcPr>
            <w:tcW w:w="645" w:type="pct"/>
            <w:noWrap/>
          </w:tcPr>
          <w:p w14:paraId="0661A699">
            <w:pPr>
              <w:jc w:val="center"/>
              <w:rPr>
                <w:rFonts w:ascii="仿宋" w:hAnsi="仿宋" w:eastAsia="仿宋" w:cs="仿宋"/>
                <w:sz w:val="21"/>
                <w:szCs w:val="21"/>
              </w:rPr>
            </w:pPr>
          </w:p>
        </w:tc>
        <w:tc>
          <w:tcPr>
            <w:tcW w:w="645" w:type="pct"/>
            <w:noWrap/>
          </w:tcPr>
          <w:p w14:paraId="45E2EA4D">
            <w:pPr>
              <w:jc w:val="center"/>
              <w:rPr>
                <w:rFonts w:ascii="仿宋" w:hAnsi="仿宋" w:eastAsia="仿宋" w:cs="仿宋"/>
                <w:sz w:val="21"/>
                <w:szCs w:val="21"/>
              </w:rPr>
            </w:pPr>
          </w:p>
        </w:tc>
        <w:tc>
          <w:tcPr>
            <w:tcW w:w="485" w:type="pct"/>
            <w:noWrap/>
            <w:vAlign w:val="center"/>
          </w:tcPr>
          <w:p w14:paraId="78135AB6">
            <w:pPr>
              <w:jc w:val="center"/>
              <w:rPr>
                <w:rFonts w:ascii="仿宋" w:hAnsi="仿宋" w:eastAsia="仿宋" w:cs="仿宋"/>
                <w:sz w:val="21"/>
                <w:szCs w:val="21"/>
              </w:rPr>
            </w:pPr>
            <w:r>
              <w:rPr>
                <w:rFonts w:hint="eastAsia" w:ascii="仿宋" w:hAnsi="仿宋" w:eastAsia="仿宋" w:cs="仿宋"/>
                <w:sz w:val="21"/>
                <w:szCs w:val="21"/>
              </w:rPr>
              <w:t>/</w:t>
            </w:r>
          </w:p>
        </w:tc>
        <w:tc>
          <w:tcPr>
            <w:tcW w:w="485" w:type="pct"/>
            <w:noWrap/>
          </w:tcPr>
          <w:p w14:paraId="039FCB4B">
            <w:pPr>
              <w:jc w:val="center"/>
              <w:rPr>
                <w:rFonts w:ascii="仿宋" w:hAnsi="仿宋" w:eastAsia="仿宋" w:cs="仿宋"/>
                <w:sz w:val="21"/>
                <w:szCs w:val="21"/>
              </w:rPr>
            </w:pPr>
          </w:p>
        </w:tc>
        <w:tc>
          <w:tcPr>
            <w:tcW w:w="485" w:type="pct"/>
            <w:noWrap/>
          </w:tcPr>
          <w:p w14:paraId="3C63A1BA">
            <w:pPr>
              <w:jc w:val="center"/>
              <w:rPr>
                <w:rFonts w:ascii="仿宋" w:hAnsi="仿宋" w:eastAsia="仿宋" w:cs="仿宋"/>
                <w:sz w:val="21"/>
                <w:szCs w:val="21"/>
              </w:rPr>
            </w:pPr>
          </w:p>
        </w:tc>
      </w:tr>
      <w:tr w14:paraId="12D79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3EAFCB70">
            <w:pPr>
              <w:pStyle w:val="8"/>
              <w:spacing w:line="240" w:lineRule="auto"/>
              <w:ind w:left="0"/>
              <w:jc w:val="center"/>
              <w:outlineLvl w:val="0"/>
              <w:rPr>
                <w:rFonts w:ascii="仿宋" w:hAnsi="仿宋" w:eastAsia="仿宋" w:cs="仿宋"/>
                <w:sz w:val="21"/>
                <w:szCs w:val="21"/>
              </w:rPr>
            </w:pPr>
            <w:bookmarkStart w:id="86" w:name="_Toc198119920"/>
            <w:bookmarkStart w:id="87" w:name="_Toc185868807"/>
            <w:bookmarkStart w:id="88" w:name="_Toc26408"/>
            <w:r>
              <w:rPr>
                <w:rFonts w:hint="eastAsia" w:ascii="仿宋" w:hAnsi="仿宋" w:eastAsia="仿宋" w:cs="仿宋"/>
                <w:sz w:val="21"/>
                <w:szCs w:val="21"/>
              </w:rPr>
              <w:t>10</w:t>
            </w:r>
            <w:bookmarkEnd w:id="86"/>
            <w:bookmarkEnd w:id="87"/>
            <w:bookmarkEnd w:id="88"/>
          </w:p>
        </w:tc>
        <w:tc>
          <w:tcPr>
            <w:tcW w:w="485" w:type="pct"/>
            <w:noWrap/>
            <w:vAlign w:val="center"/>
          </w:tcPr>
          <w:p w14:paraId="54B94987">
            <w:pPr>
              <w:jc w:val="center"/>
              <w:rPr>
                <w:rFonts w:ascii="仿宋" w:hAnsi="仿宋" w:eastAsia="仿宋" w:cs="仿宋"/>
                <w:sz w:val="21"/>
                <w:szCs w:val="21"/>
              </w:rPr>
            </w:pPr>
          </w:p>
        </w:tc>
        <w:tc>
          <w:tcPr>
            <w:tcW w:w="1285" w:type="pct"/>
            <w:noWrap/>
          </w:tcPr>
          <w:p w14:paraId="6C93E090">
            <w:pPr>
              <w:jc w:val="center"/>
              <w:rPr>
                <w:rFonts w:ascii="仿宋" w:hAnsi="仿宋" w:eastAsia="仿宋" w:cs="仿宋"/>
                <w:sz w:val="21"/>
                <w:szCs w:val="21"/>
              </w:rPr>
            </w:pPr>
          </w:p>
        </w:tc>
        <w:tc>
          <w:tcPr>
            <w:tcW w:w="645" w:type="pct"/>
            <w:noWrap/>
          </w:tcPr>
          <w:p w14:paraId="74F8EEFC">
            <w:pPr>
              <w:jc w:val="center"/>
              <w:rPr>
                <w:rFonts w:ascii="仿宋" w:hAnsi="仿宋" w:eastAsia="仿宋" w:cs="仿宋"/>
                <w:sz w:val="21"/>
                <w:szCs w:val="21"/>
              </w:rPr>
            </w:pPr>
          </w:p>
        </w:tc>
        <w:tc>
          <w:tcPr>
            <w:tcW w:w="645" w:type="pct"/>
            <w:noWrap/>
          </w:tcPr>
          <w:p w14:paraId="24E13F2A">
            <w:pPr>
              <w:jc w:val="center"/>
              <w:rPr>
                <w:rFonts w:ascii="仿宋" w:hAnsi="仿宋" w:eastAsia="仿宋" w:cs="仿宋"/>
                <w:sz w:val="21"/>
                <w:szCs w:val="21"/>
              </w:rPr>
            </w:pPr>
          </w:p>
        </w:tc>
        <w:tc>
          <w:tcPr>
            <w:tcW w:w="485" w:type="pct"/>
            <w:noWrap/>
            <w:vAlign w:val="center"/>
          </w:tcPr>
          <w:p w14:paraId="74B7D5E1">
            <w:pPr>
              <w:jc w:val="center"/>
              <w:rPr>
                <w:rFonts w:ascii="仿宋" w:hAnsi="仿宋" w:eastAsia="仿宋" w:cs="仿宋"/>
                <w:sz w:val="21"/>
                <w:szCs w:val="21"/>
              </w:rPr>
            </w:pPr>
            <w:r>
              <w:rPr>
                <w:rFonts w:hint="eastAsia" w:ascii="仿宋" w:hAnsi="仿宋" w:eastAsia="仿宋" w:cs="仿宋"/>
                <w:sz w:val="21"/>
                <w:szCs w:val="21"/>
              </w:rPr>
              <w:t>/</w:t>
            </w:r>
          </w:p>
        </w:tc>
        <w:tc>
          <w:tcPr>
            <w:tcW w:w="485" w:type="pct"/>
            <w:noWrap/>
          </w:tcPr>
          <w:p w14:paraId="4E1089B2">
            <w:pPr>
              <w:jc w:val="center"/>
              <w:rPr>
                <w:rFonts w:ascii="仿宋" w:hAnsi="仿宋" w:eastAsia="仿宋" w:cs="仿宋"/>
                <w:sz w:val="21"/>
                <w:szCs w:val="21"/>
              </w:rPr>
            </w:pPr>
          </w:p>
        </w:tc>
        <w:tc>
          <w:tcPr>
            <w:tcW w:w="485" w:type="pct"/>
            <w:noWrap/>
          </w:tcPr>
          <w:p w14:paraId="2FC14E13">
            <w:pPr>
              <w:jc w:val="center"/>
              <w:rPr>
                <w:rFonts w:ascii="仿宋" w:hAnsi="仿宋" w:eastAsia="仿宋" w:cs="仿宋"/>
                <w:sz w:val="21"/>
                <w:szCs w:val="21"/>
              </w:rPr>
            </w:pPr>
          </w:p>
        </w:tc>
      </w:tr>
      <w:tr w14:paraId="4426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0FBCC104">
            <w:pPr>
              <w:pStyle w:val="8"/>
              <w:spacing w:line="240" w:lineRule="auto"/>
              <w:ind w:left="0"/>
              <w:jc w:val="center"/>
              <w:outlineLvl w:val="0"/>
              <w:rPr>
                <w:rFonts w:ascii="仿宋" w:hAnsi="仿宋" w:eastAsia="仿宋" w:cs="仿宋"/>
                <w:sz w:val="21"/>
                <w:szCs w:val="21"/>
              </w:rPr>
            </w:pPr>
            <w:bookmarkStart w:id="89" w:name="_Toc198119921"/>
            <w:bookmarkStart w:id="90" w:name="_Toc185868808"/>
            <w:bookmarkStart w:id="91" w:name="_Toc24272"/>
            <w:r>
              <w:rPr>
                <w:rFonts w:hint="eastAsia" w:ascii="仿宋" w:hAnsi="仿宋" w:eastAsia="仿宋" w:cs="仿宋"/>
                <w:sz w:val="21"/>
                <w:szCs w:val="21"/>
              </w:rPr>
              <w:t>11</w:t>
            </w:r>
            <w:bookmarkEnd w:id="89"/>
            <w:bookmarkEnd w:id="90"/>
            <w:bookmarkEnd w:id="91"/>
          </w:p>
        </w:tc>
        <w:tc>
          <w:tcPr>
            <w:tcW w:w="485" w:type="pct"/>
            <w:noWrap/>
            <w:vAlign w:val="center"/>
          </w:tcPr>
          <w:p w14:paraId="10A89C52">
            <w:pPr>
              <w:jc w:val="center"/>
              <w:rPr>
                <w:rFonts w:ascii="仿宋" w:hAnsi="仿宋" w:eastAsia="仿宋" w:cs="仿宋"/>
                <w:sz w:val="21"/>
                <w:szCs w:val="21"/>
              </w:rPr>
            </w:pPr>
            <w:r>
              <w:rPr>
                <w:rFonts w:hint="eastAsia" w:ascii="仿宋" w:hAnsi="仿宋" w:eastAsia="仿宋" w:cs="仿宋"/>
                <w:sz w:val="21"/>
                <w:szCs w:val="21"/>
              </w:rPr>
              <w:t>……</w:t>
            </w:r>
          </w:p>
        </w:tc>
        <w:tc>
          <w:tcPr>
            <w:tcW w:w="1285" w:type="pct"/>
            <w:noWrap/>
          </w:tcPr>
          <w:p w14:paraId="64B17B3F">
            <w:pPr>
              <w:jc w:val="center"/>
              <w:rPr>
                <w:rFonts w:ascii="仿宋" w:hAnsi="仿宋" w:eastAsia="仿宋" w:cs="仿宋"/>
                <w:sz w:val="21"/>
                <w:szCs w:val="21"/>
              </w:rPr>
            </w:pPr>
          </w:p>
        </w:tc>
        <w:tc>
          <w:tcPr>
            <w:tcW w:w="645" w:type="pct"/>
            <w:noWrap/>
          </w:tcPr>
          <w:p w14:paraId="7A68931F">
            <w:pPr>
              <w:jc w:val="center"/>
              <w:rPr>
                <w:rFonts w:ascii="仿宋" w:hAnsi="仿宋" w:eastAsia="仿宋" w:cs="仿宋"/>
                <w:sz w:val="21"/>
                <w:szCs w:val="21"/>
              </w:rPr>
            </w:pPr>
          </w:p>
        </w:tc>
        <w:tc>
          <w:tcPr>
            <w:tcW w:w="645" w:type="pct"/>
            <w:noWrap/>
          </w:tcPr>
          <w:p w14:paraId="378F824A">
            <w:pPr>
              <w:jc w:val="center"/>
              <w:rPr>
                <w:rFonts w:ascii="仿宋" w:hAnsi="仿宋" w:eastAsia="仿宋" w:cs="仿宋"/>
                <w:sz w:val="21"/>
                <w:szCs w:val="21"/>
              </w:rPr>
            </w:pPr>
          </w:p>
        </w:tc>
        <w:tc>
          <w:tcPr>
            <w:tcW w:w="485" w:type="pct"/>
            <w:noWrap/>
            <w:vAlign w:val="center"/>
          </w:tcPr>
          <w:p w14:paraId="01BDA03D">
            <w:pPr>
              <w:jc w:val="center"/>
              <w:rPr>
                <w:rFonts w:ascii="仿宋" w:hAnsi="仿宋" w:eastAsia="仿宋" w:cs="仿宋"/>
                <w:sz w:val="21"/>
                <w:szCs w:val="21"/>
              </w:rPr>
            </w:pPr>
            <w:r>
              <w:rPr>
                <w:rFonts w:hint="eastAsia" w:ascii="仿宋" w:hAnsi="仿宋" w:eastAsia="仿宋" w:cs="仿宋"/>
                <w:sz w:val="21"/>
                <w:szCs w:val="21"/>
              </w:rPr>
              <w:t>/</w:t>
            </w:r>
          </w:p>
        </w:tc>
        <w:tc>
          <w:tcPr>
            <w:tcW w:w="485" w:type="pct"/>
            <w:noWrap/>
          </w:tcPr>
          <w:p w14:paraId="06447A4B">
            <w:pPr>
              <w:jc w:val="center"/>
              <w:rPr>
                <w:rFonts w:ascii="仿宋" w:hAnsi="仿宋" w:eastAsia="仿宋" w:cs="仿宋"/>
                <w:sz w:val="21"/>
                <w:szCs w:val="21"/>
              </w:rPr>
            </w:pPr>
          </w:p>
        </w:tc>
        <w:tc>
          <w:tcPr>
            <w:tcW w:w="485" w:type="pct"/>
            <w:noWrap/>
          </w:tcPr>
          <w:p w14:paraId="5DE1C97D">
            <w:pPr>
              <w:jc w:val="center"/>
              <w:rPr>
                <w:rFonts w:ascii="仿宋" w:hAnsi="仿宋" w:eastAsia="仿宋" w:cs="仿宋"/>
                <w:sz w:val="21"/>
                <w:szCs w:val="21"/>
              </w:rPr>
            </w:pPr>
          </w:p>
        </w:tc>
      </w:tr>
      <w:tr w14:paraId="4526B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85" w:type="pct"/>
            <w:noWrap/>
            <w:vAlign w:val="center"/>
          </w:tcPr>
          <w:p w14:paraId="3F89CA2C">
            <w:pPr>
              <w:pStyle w:val="8"/>
              <w:spacing w:line="240" w:lineRule="auto"/>
              <w:ind w:left="0"/>
              <w:jc w:val="center"/>
              <w:outlineLvl w:val="0"/>
              <w:rPr>
                <w:rFonts w:ascii="仿宋" w:hAnsi="仿宋" w:eastAsia="仿宋" w:cs="仿宋"/>
                <w:sz w:val="21"/>
                <w:szCs w:val="21"/>
              </w:rPr>
            </w:pPr>
            <w:bookmarkStart w:id="92" w:name="_Toc185868809"/>
            <w:bookmarkStart w:id="93" w:name="_Toc7875"/>
            <w:bookmarkStart w:id="94" w:name="_Toc198119922"/>
            <w:r>
              <w:rPr>
                <w:rFonts w:hint="eastAsia" w:ascii="仿宋" w:hAnsi="仿宋" w:eastAsia="仿宋" w:cs="仿宋"/>
                <w:sz w:val="21"/>
                <w:szCs w:val="21"/>
              </w:rPr>
              <w:t>12</w:t>
            </w:r>
            <w:bookmarkEnd w:id="92"/>
            <w:bookmarkEnd w:id="93"/>
            <w:bookmarkEnd w:id="94"/>
          </w:p>
        </w:tc>
        <w:tc>
          <w:tcPr>
            <w:tcW w:w="485" w:type="pct"/>
            <w:noWrap/>
            <w:vAlign w:val="center"/>
          </w:tcPr>
          <w:p w14:paraId="54934C54">
            <w:pPr>
              <w:jc w:val="center"/>
              <w:rPr>
                <w:rFonts w:ascii="仿宋" w:hAnsi="仿宋" w:eastAsia="仿宋" w:cs="仿宋"/>
                <w:sz w:val="21"/>
                <w:szCs w:val="21"/>
              </w:rPr>
            </w:pPr>
            <w:r>
              <w:rPr>
                <w:rFonts w:hint="eastAsia" w:ascii="仿宋" w:hAnsi="仿宋" w:eastAsia="仿宋" w:cs="仿宋"/>
                <w:sz w:val="21"/>
                <w:szCs w:val="21"/>
              </w:rPr>
              <w:t>总计</w:t>
            </w:r>
          </w:p>
        </w:tc>
        <w:tc>
          <w:tcPr>
            <w:tcW w:w="4030" w:type="pct"/>
            <w:gridSpan w:val="6"/>
            <w:noWrap/>
          </w:tcPr>
          <w:p w14:paraId="4926C3A1">
            <w:pPr>
              <w:rPr>
                <w:rFonts w:ascii="仿宋" w:hAnsi="仿宋" w:eastAsia="仿宋" w:cs="仿宋"/>
                <w:sz w:val="21"/>
                <w:szCs w:val="21"/>
              </w:rPr>
            </w:pPr>
          </w:p>
        </w:tc>
      </w:tr>
    </w:tbl>
    <w:p w14:paraId="5F9F0EF3">
      <w:pPr>
        <w:spacing w:line="360" w:lineRule="auto"/>
        <w:rPr>
          <w:rFonts w:ascii="仿宋" w:hAnsi="仿宋" w:eastAsia="仿宋"/>
          <w:sz w:val="24"/>
          <w:szCs w:val="24"/>
          <w:u w:val="single"/>
        </w:rPr>
      </w:pPr>
    </w:p>
    <w:p w14:paraId="62F25DD1">
      <w:pPr>
        <w:snapToGrid w:val="0"/>
        <w:spacing w:before="360" w:beforeLines="150" w:line="480" w:lineRule="auto"/>
        <w:ind w:left="420" w:leftChars="200"/>
        <w:jc w:val="left"/>
        <w:rPr>
          <w:rFonts w:hint="default" w:ascii="宋体" w:hAnsi="宋体"/>
          <w:sz w:val="24"/>
          <w:highlight w:val="none"/>
          <w:lang w:val="en-US" w:eastAsia="zh-CN"/>
        </w:rPr>
      </w:pPr>
    </w:p>
    <w:p w14:paraId="26E325EB">
      <w:pPr>
        <w:spacing w:line="360" w:lineRule="auto"/>
        <w:jc w:val="center"/>
        <w:rPr>
          <w:rFonts w:ascii="宋体" w:hAnsi="宋体"/>
          <w:b/>
          <w:color w:val="auto"/>
          <w:szCs w:val="32"/>
          <w:highlight w:val="none"/>
        </w:rPr>
      </w:pPr>
      <w:r>
        <w:rPr>
          <w:rFonts w:ascii="宋体" w:hAnsi="宋体"/>
          <w:b/>
          <w:color w:val="auto"/>
          <w:szCs w:val="32"/>
          <w:highlight w:val="none"/>
        </w:rPr>
        <w:br w:type="page"/>
      </w:r>
    </w:p>
    <w:p w14:paraId="0775FCAD">
      <w:pPr>
        <w:spacing w:line="360" w:lineRule="auto"/>
        <w:jc w:val="left"/>
        <w:rPr>
          <w:rFonts w:ascii="宋体" w:hAnsi="宋体"/>
          <w:b/>
          <w:color w:val="auto"/>
          <w:sz w:val="32"/>
          <w:szCs w:val="28"/>
          <w:highlight w:val="none"/>
        </w:rPr>
      </w:pPr>
      <w:r>
        <w:rPr>
          <w:rFonts w:ascii="宋体" w:hAnsi="宋体"/>
          <w:b/>
          <w:color w:val="auto"/>
          <w:sz w:val="32"/>
          <w:szCs w:val="28"/>
          <w:highlight w:val="none"/>
        </w:rPr>
        <w:t>2.资格审查资料：比选申请函、</w:t>
      </w:r>
      <w:r>
        <w:rPr>
          <w:rFonts w:ascii="宋体" w:hAnsi="宋体" w:cs="Times New Roman"/>
          <w:b/>
          <w:color w:val="auto"/>
          <w:kern w:val="2"/>
          <w:sz w:val="32"/>
          <w:szCs w:val="28"/>
          <w:highlight w:val="none"/>
        </w:rPr>
        <w:t>营业执照、资质文件、业绩证明材料、承诺书</w:t>
      </w:r>
      <w:r>
        <w:rPr>
          <w:rFonts w:hint="default" w:ascii="宋体" w:hAnsi="宋体" w:cs="Times New Roman"/>
          <w:b/>
          <w:color w:val="auto"/>
          <w:kern w:val="2"/>
          <w:sz w:val="32"/>
          <w:szCs w:val="28"/>
          <w:highlight w:val="none"/>
          <w:lang w:eastAsia="zh-CN"/>
        </w:rPr>
        <w:t>、</w:t>
      </w:r>
      <w:r>
        <w:rPr>
          <w:rFonts w:ascii="宋体" w:hAnsi="宋体" w:cs="Times New Roman"/>
          <w:b/>
          <w:color w:val="auto"/>
          <w:kern w:val="2"/>
          <w:sz w:val="32"/>
          <w:szCs w:val="28"/>
          <w:highlight w:val="none"/>
        </w:rPr>
        <w:t>服务方案</w:t>
      </w:r>
    </w:p>
    <w:p w14:paraId="16869AD7">
      <w:pPr>
        <w:spacing w:line="360" w:lineRule="auto"/>
        <w:jc w:val="left"/>
        <w:rPr>
          <w:rFonts w:ascii="宋体" w:hAnsi="宋体"/>
          <w:b/>
          <w:color w:val="auto"/>
          <w:sz w:val="32"/>
          <w:szCs w:val="28"/>
          <w:highlight w:val="none"/>
        </w:rPr>
      </w:pPr>
      <w:r>
        <w:rPr>
          <w:rFonts w:ascii="宋体" w:hAnsi="宋体" w:cs="宋体"/>
          <w:color w:val="auto"/>
          <w:kern w:val="0"/>
          <w:szCs w:val="21"/>
          <w:highlight w:val="none"/>
        </w:rPr>
        <w:t>，</w:t>
      </w:r>
    </w:p>
    <w:p w14:paraId="51D0C976">
      <w:pPr>
        <w:spacing w:line="360" w:lineRule="auto"/>
        <w:jc w:val="center"/>
        <w:rPr>
          <w:rFonts w:ascii="宋体" w:hAnsi="宋体"/>
          <w:color w:val="auto"/>
          <w:szCs w:val="28"/>
          <w:highlight w:val="none"/>
        </w:rPr>
      </w:pPr>
      <w:r>
        <w:rPr>
          <w:rFonts w:hint="eastAsia" w:ascii="宋体" w:hAnsi="宋体"/>
          <w:color w:val="auto"/>
          <w:szCs w:val="28"/>
          <w:highlight w:val="none"/>
        </w:rPr>
        <w:t>（缺一不可）</w:t>
      </w:r>
    </w:p>
    <w:p w14:paraId="79ADCD1E">
      <w:pPr>
        <w:spacing w:line="360" w:lineRule="auto"/>
        <w:jc w:val="center"/>
        <w:rPr>
          <w:rFonts w:ascii="宋体" w:hAnsi="宋体"/>
          <w:color w:val="auto"/>
          <w:szCs w:val="28"/>
          <w:highlight w:val="none"/>
        </w:rPr>
      </w:pPr>
    </w:p>
    <w:p w14:paraId="01BAD2E2">
      <w:pPr>
        <w:spacing w:line="360" w:lineRule="auto"/>
        <w:jc w:val="center"/>
        <w:rPr>
          <w:rFonts w:ascii="宋体" w:hAnsi="宋体"/>
          <w:color w:val="auto"/>
          <w:szCs w:val="28"/>
          <w:highlight w:val="none"/>
        </w:rPr>
      </w:pPr>
    </w:p>
    <w:p w14:paraId="24AE704E">
      <w:pPr>
        <w:spacing w:line="360" w:lineRule="auto"/>
        <w:jc w:val="center"/>
        <w:rPr>
          <w:rFonts w:ascii="宋体" w:hAnsi="宋体"/>
          <w:color w:val="auto"/>
          <w:szCs w:val="28"/>
          <w:highlight w:val="none"/>
        </w:rPr>
      </w:pPr>
    </w:p>
    <w:p w14:paraId="0BEE91AE">
      <w:pPr>
        <w:spacing w:line="360" w:lineRule="auto"/>
        <w:jc w:val="center"/>
        <w:rPr>
          <w:rFonts w:ascii="宋体" w:hAnsi="宋体"/>
          <w:color w:val="auto"/>
          <w:szCs w:val="28"/>
          <w:highlight w:val="none"/>
        </w:rPr>
      </w:pPr>
    </w:p>
    <w:p w14:paraId="68F286FA">
      <w:pPr>
        <w:spacing w:line="360" w:lineRule="auto"/>
        <w:jc w:val="center"/>
        <w:rPr>
          <w:rFonts w:ascii="宋体" w:hAnsi="宋体"/>
          <w:color w:val="auto"/>
          <w:szCs w:val="28"/>
          <w:highlight w:val="none"/>
        </w:rPr>
      </w:pPr>
    </w:p>
    <w:p w14:paraId="6786E241">
      <w:pPr>
        <w:spacing w:line="360" w:lineRule="auto"/>
        <w:jc w:val="center"/>
        <w:rPr>
          <w:rFonts w:ascii="宋体" w:hAnsi="宋体"/>
          <w:color w:val="auto"/>
          <w:szCs w:val="28"/>
          <w:highlight w:val="none"/>
        </w:rPr>
      </w:pPr>
    </w:p>
    <w:p w14:paraId="7A563A28">
      <w:pPr>
        <w:spacing w:line="360" w:lineRule="auto"/>
        <w:jc w:val="center"/>
        <w:rPr>
          <w:rFonts w:ascii="宋体" w:hAnsi="宋体"/>
          <w:color w:val="auto"/>
          <w:szCs w:val="28"/>
          <w:highlight w:val="none"/>
        </w:rPr>
      </w:pPr>
    </w:p>
    <w:p w14:paraId="7B8F92C6">
      <w:pPr>
        <w:spacing w:line="360" w:lineRule="auto"/>
        <w:jc w:val="center"/>
        <w:rPr>
          <w:rFonts w:ascii="宋体" w:hAnsi="宋体"/>
          <w:color w:val="auto"/>
          <w:szCs w:val="28"/>
          <w:highlight w:val="none"/>
        </w:rPr>
      </w:pPr>
    </w:p>
    <w:p w14:paraId="22C6A15F">
      <w:pPr>
        <w:spacing w:line="360" w:lineRule="auto"/>
        <w:jc w:val="center"/>
        <w:rPr>
          <w:rFonts w:ascii="宋体" w:hAnsi="宋体"/>
          <w:color w:val="auto"/>
          <w:szCs w:val="28"/>
          <w:highlight w:val="none"/>
        </w:rPr>
      </w:pPr>
    </w:p>
    <w:p w14:paraId="2EDF92FD">
      <w:pPr>
        <w:spacing w:line="360" w:lineRule="auto"/>
        <w:jc w:val="center"/>
        <w:rPr>
          <w:rFonts w:ascii="宋体" w:hAnsi="宋体"/>
          <w:color w:val="auto"/>
          <w:szCs w:val="28"/>
          <w:highlight w:val="none"/>
        </w:rPr>
      </w:pPr>
    </w:p>
    <w:p w14:paraId="64F33160">
      <w:pPr>
        <w:spacing w:line="360" w:lineRule="auto"/>
        <w:jc w:val="center"/>
        <w:rPr>
          <w:rFonts w:ascii="宋体" w:hAnsi="宋体"/>
          <w:color w:val="auto"/>
          <w:szCs w:val="28"/>
          <w:highlight w:val="none"/>
        </w:rPr>
      </w:pPr>
    </w:p>
    <w:p w14:paraId="1B17DBD7">
      <w:pPr>
        <w:spacing w:line="360" w:lineRule="auto"/>
        <w:jc w:val="center"/>
        <w:rPr>
          <w:rFonts w:ascii="宋体" w:hAnsi="宋体"/>
          <w:color w:val="auto"/>
          <w:szCs w:val="28"/>
          <w:highlight w:val="none"/>
        </w:rPr>
      </w:pPr>
    </w:p>
    <w:p w14:paraId="56DD390E">
      <w:pPr>
        <w:spacing w:line="360" w:lineRule="auto"/>
        <w:jc w:val="center"/>
        <w:rPr>
          <w:rFonts w:ascii="宋体" w:hAnsi="宋体"/>
          <w:color w:val="auto"/>
          <w:szCs w:val="28"/>
          <w:highlight w:val="none"/>
        </w:rPr>
      </w:pPr>
    </w:p>
    <w:p w14:paraId="289375FD">
      <w:pPr>
        <w:spacing w:line="360" w:lineRule="auto"/>
        <w:jc w:val="center"/>
        <w:rPr>
          <w:rFonts w:ascii="宋体" w:hAnsi="宋体"/>
          <w:color w:val="auto"/>
          <w:szCs w:val="28"/>
          <w:highlight w:val="none"/>
        </w:rPr>
      </w:pPr>
    </w:p>
    <w:p w14:paraId="42FF9D59">
      <w:pPr>
        <w:spacing w:line="360" w:lineRule="auto"/>
        <w:jc w:val="center"/>
        <w:rPr>
          <w:rFonts w:ascii="宋体" w:hAnsi="宋体"/>
          <w:color w:val="auto"/>
          <w:szCs w:val="28"/>
          <w:highlight w:val="none"/>
        </w:rPr>
      </w:pPr>
    </w:p>
    <w:p w14:paraId="44211763">
      <w:pPr>
        <w:spacing w:line="360" w:lineRule="auto"/>
        <w:jc w:val="center"/>
        <w:rPr>
          <w:rFonts w:ascii="宋体" w:hAnsi="宋体"/>
          <w:color w:val="auto"/>
          <w:szCs w:val="28"/>
          <w:highlight w:val="none"/>
        </w:rPr>
      </w:pPr>
    </w:p>
    <w:p w14:paraId="76AE0AA4">
      <w:pPr>
        <w:spacing w:line="360" w:lineRule="auto"/>
        <w:jc w:val="center"/>
        <w:rPr>
          <w:rFonts w:ascii="宋体" w:hAnsi="宋体"/>
          <w:color w:val="auto"/>
          <w:szCs w:val="28"/>
          <w:highlight w:val="none"/>
        </w:rPr>
      </w:pPr>
    </w:p>
    <w:p w14:paraId="17F6CCD8">
      <w:pPr>
        <w:spacing w:line="360" w:lineRule="auto"/>
        <w:jc w:val="center"/>
        <w:rPr>
          <w:rFonts w:ascii="宋体" w:hAnsi="宋体"/>
          <w:color w:val="auto"/>
          <w:szCs w:val="28"/>
          <w:highlight w:val="none"/>
        </w:rPr>
      </w:pPr>
    </w:p>
    <w:p w14:paraId="53F3701D">
      <w:pPr>
        <w:spacing w:line="360" w:lineRule="auto"/>
        <w:jc w:val="center"/>
        <w:rPr>
          <w:rFonts w:ascii="宋体" w:hAnsi="宋体"/>
          <w:color w:val="auto"/>
          <w:szCs w:val="28"/>
          <w:highlight w:val="none"/>
        </w:rPr>
      </w:pPr>
    </w:p>
    <w:p w14:paraId="65BD00D9">
      <w:pPr>
        <w:spacing w:line="360" w:lineRule="auto"/>
        <w:jc w:val="center"/>
        <w:rPr>
          <w:rFonts w:ascii="宋体" w:hAnsi="宋体"/>
          <w:color w:val="auto"/>
          <w:szCs w:val="28"/>
          <w:highlight w:val="none"/>
        </w:rPr>
      </w:pPr>
    </w:p>
    <w:p w14:paraId="6F8B5851">
      <w:pPr>
        <w:spacing w:line="360" w:lineRule="auto"/>
        <w:jc w:val="center"/>
        <w:rPr>
          <w:rFonts w:ascii="宋体" w:hAnsi="宋体"/>
          <w:color w:val="auto"/>
          <w:szCs w:val="28"/>
          <w:highlight w:val="none"/>
        </w:rPr>
      </w:pPr>
    </w:p>
    <w:p w14:paraId="64BE049D">
      <w:pPr>
        <w:spacing w:line="360" w:lineRule="auto"/>
        <w:jc w:val="center"/>
        <w:rPr>
          <w:rFonts w:ascii="宋体" w:hAnsi="宋体"/>
          <w:color w:val="auto"/>
          <w:szCs w:val="28"/>
          <w:highlight w:val="none"/>
        </w:rPr>
      </w:pPr>
    </w:p>
    <w:p w14:paraId="6FC64CF3">
      <w:pPr>
        <w:spacing w:line="360" w:lineRule="auto"/>
        <w:jc w:val="center"/>
        <w:rPr>
          <w:rFonts w:ascii="宋体" w:hAnsi="宋体"/>
          <w:color w:val="auto"/>
          <w:szCs w:val="28"/>
          <w:highlight w:val="none"/>
        </w:rPr>
      </w:pPr>
    </w:p>
    <w:p w14:paraId="3EF064AB">
      <w:pPr>
        <w:spacing w:line="360" w:lineRule="auto"/>
        <w:jc w:val="center"/>
        <w:rPr>
          <w:rFonts w:ascii="宋体" w:hAnsi="宋体"/>
          <w:color w:val="auto"/>
          <w:szCs w:val="28"/>
          <w:highlight w:val="none"/>
        </w:rPr>
      </w:pPr>
    </w:p>
    <w:p w14:paraId="56F84EA0">
      <w:pPr>
        <w:spacing w:line="360" w:lineRule="auto"/>
        <w:jc w:val="center"/>
        <w:rPr>
          <w:rFonts w:ascii="宋体" w:hAnsi="宋体"/>
          <w:color w:val="auto"/>
          <w:szCs w:val="28"/>
          <w:highlight w:val="none"/>
        </w:rPr>
      </w:pPr>
    </w:p>
    <w:p w14:paraId="402C8F66">
      <w:pPr>
        <w:spacing w:line="360" w:lineRule="auto"/>
        <w:jc w:val="center"/>
        <w:rPr>
          <w:rFonts w:ascii="宋体" w:hAnsi="宋体"/>
          <w:color w:val="auto"/>
          <w:szCs w:val="28"/>
          <w:highlight w:val="none"/>
        </w:rPr>
      </w:pPr>
    </w:p>
    <w:p w14:paraId="3C94E70C">
      <w:pPr>
        <w:spacing w:line="360" w:lineRule="auto"/>
        <w:jc w:val="center"/>
        <w:rPr>
          <w:rFonts w:ascii="宋体" w:hAnsi="宋体"/>
          <w:color w:val="auto"/>
          <w:szCs w:val="28"/>
          <w:highlight w:val="none"/>
        </w:rPr>
      </w:pPr>
    </w:p>
    <w:p w14:paraId="455E2537">
      <w:pPr>
        <w:spacing w:line="360" w:lineRule="auto"/>
        <w:jc w:val="center"/>
        <w:rPr>
          <w:rFonts w:ascii="宋体" w:hAnsi="宋体"/>
          <w:color w:val="auto"/>
          <w:szCs w:val="28"/>
          <w:highlight w:val="none"/>
        </w:rPr>
      </w:pPr>
    </w:p>
    <w:p w14:paraId="3F213309">
      <w:pPr>
        <w:spacing w:line="360" w:lineRule="auto"/>
        <w:jc w:val="center"/>
        <w:rPr>
          <w:rFonts w:ascii="宋体" w:hAnsi="宋体"/>
          <w:color w:val="auto"/>
          <w:szCs w:val="28"/>
          <w:highlight w:val="none"/>
        </w:rPr>
      </w:pPr>
    </w:p>
    <w:p w14:paraId="0336B183">
      <w:pPr>
        <w:pStyle w:val="3"/>
        <w:tabs>
          <w:tab w:val="left" w:pos="600"/>
        </w:tabs>
        <w:jc w:val="center"/>
        <w:rPr>
          <w:rFonts w:ascii="黑体" w:eastAsia="黑体"/>
          <w:szCs w:val="28"/>
          <w:highlight w:val="none"/>
        </w:rPr>
      </w:pPr>
      <w:r>
        <w:rPr>
          <w:highlight w:val="none"/>
        </w:rPr>
        <w:t>3.</w:t>
      </w:r>
      <w:r>
        <w:rPr>
          <w:rFonts w:hint="eastAsia"/>
          <w:highlight w:val="none"/>
        </w:rPr>
        <w:t>法定代表人授权书</w:t>
      </w:r>
    </w:p>
    <w:p w14:paraId="385E568C">
      <w:pPr>
        <w:spacing w:line="360" w:lineRule="auto"/>
        <w:rPr>
          <w:b/>
          <w:sz w:val="24"/>
          <w:highlight w:val="none"/>
        </w:rPr>
      </w:pPr>
    </w:p>
    <w:p w14:paraId="2A2DB0ED">
      <w:pPr>
        <w:pStyle w:val="35"/>
        <w:widowControl/>
        <w:tabs>
          <w:tab w:val="center" w:pos="4649"/>
          <w:tab w:val="right" w:pos="9299"/>
        </w:tabs>
        <w:adjustRightInd w:val="0"/>
        <w:spacing w:after="200"/>
        <w:rPr>
          <w:rFonts w:hint="eastAsia" w:hAnsi="宋体" w:eastAsia="宋体"/>
          <w:highlight w:val="none"/>
          <w:lang w:eastAsia="zh-CN"/>
        </w:rPr>
      </w:pPr>
      <w:r>
        <w:rPr>
          <w:rFonts w:hint="eastAsia" w:hAnsi="宋体"/>
          <w:highlight w:val="none"/>
        </w:rPr>
        <w:t>项目名称：</w:t>
      </w:r>
      <w:r>
        <w:rPr>
          <w:rFonts w:hint="eastAsia" w:hAnsi="宋体"/>
          <w:highlight w:val="none"/>
          <w:lang w:eastAsia="zh-CN"/>
        </w:rPr>
        <w:t>渝中区筷子街2号车库道闸服务采购</w:t>
      </w:r>
    </w:p>
    <w:p w14:paraId="036184EF">
      <w:pPr>
        <w:spacing w:line="360" w:lineRule="auto"/>
        <w:rPr>
          <w:rFonts w:hAnsi="宋体"/>
          <w:sz w:val="24"/>
          <w:highlight w:val="none"/>
        </w:rPr>
      </w:pPr>
    </w:p>
    <w:p w14:paraId="454ABEEB">
      <w:pPr>
        <w:spacing w:line="360" w:lineRule="auto"/>
        <w:rPr>
          <w:sz w:val="24"/>
          <w:highlight w:val="none"/>
        </w:rPr>
      </w:pPr>
    </w:p>
    <w:p w14:paraId="3308E811">
      <w:pPr>
        <w:spacing w:line="360" w:lineRule="auto"/>
        <w:rPr>
          <w:rFonts w:hint="eastAsia" w:hAnsi="宋体" w:eastAsia="宋体"/>
          <w:sz w:val="24"/>
          <w:highlight w:val="none"/>
          <w:lang w:eastAsia="zh-CN"/>
        </w:rPr>
      </w:pPr>
      <w:r>
        <w:rPr>
          <w:rFonts w:hint="eastAsia" w:hAnsi="宋体"/>
          <w:sz w:val="24"/>
          <w:highlight w:val="none"/>
        </w:rPr>
        <w:t>致：</w:t>
      </w:r>
      <w:r>
        <w:rPr>
          <w:rFonts w:hint="eastAsia" w:ascii="宋体" w:hAnsi="宋体"/>
          <w:snapToGrid w:val="0"/>
          <w:color w:val="auto"/>
          <w:sz w:val="24"/>
          <w:highlight w:val="none"/>
          <w:lang w:eastAsia="zh-CN"/>
        </w:rPr>
        <w:t>中国四联仪器仪表集团有限公司重庆分公司</w:t>
      </w:r>
    </w:p>
    <w:p w14:paraId="5C84A898">
      <w:pPr>
        <w:spacing w:line="360" w:lineRule="auto"/>
        <w:rPr>
          <w:b/>
          <w:sz w:val="24"/>
          <w:highlight w:val="none"/>
        </w:rPr>
      </w:pPr>
    </w:p>
    <w:p w14:paraId="3C0443E9">
      <w:pPr>
        <w:spacing w:line="560" w:lineRule="exact"/>
        <w:ind w:firstLine="480" w:firstLineChars="200"/>
        <w:rPr>
          <w:sz w:val="24"/>
          <w:highlight w:val="none"/>
        </w:rPr>
      </w:pPr>
      <w:r>
        <w:rPr>
          <w:rFonts w:hint="eastAsia"/>
          <w:sz w:val="24"/>
          <w:highlight w:val="none"/>
        </w:rPr>
        <w:t xml:space="preserve">本人系按照中华人民共和国法律设立并存续的 </w:t>
      </w:r>
      <w:r>
        <w:rPr>
          <w:sz w:val="24"/>
          <w:highlight w:val="none"/>
          <w:u w:val="single"/>
        </w:rPr>
        <w:t xml:space="preserve">                  </w:t>
      </w:r>
      <w:r>
        <w:rPr>
          <w:rFonts w:hint="eastAsia"/>
          <w:sz w:val="24"/>
          <w:highlight w:val="none"/>
        </w:rPr>
        <w:t xml:space="preserve"> 公司的法定代表人 </w:t>
      </w:r>
      <w:r>
        <w:rPr>
          <w:sz w:val="24"/>
          <w:highlight w:val="none"/>
          <w:u w:val="single"/>
        </w:rPr>
        <w:t xml:space="preserve">        </w:t>
      </w:r>
      <w:r>
        <w:rPr>
          <w:rFonts w:hint="eastAsia"/>
          <w:sz w:val="24"/>
          <w:highlight w:val="none"/>
        </w:rPr>
        <w:t xml:space="preserve"> ，公司地址为 </w:t>
      </w:r>
      <w:r>
        <w:rPr>
          <w:sz w:val="24"/>
          <w:highlight w:val="none"/>
          <w:u w:val="single"/>
        </w:rPr>
        <w:t xml:space="preserve">          </w:t>
      </w:r>
      <w:r>
        <w:rPr>
          <w:rFonts w:hint="eastAsia"/>
          <w:sz w:val="24"/>
          <w:highlight w:val="none"/>
        </w:rPr>
        <w:t xml:space="preserve"> ，在此特任命：</w:t>
      </w:r>
      <w:r>
        <w:rPr>
          <w:rFonts w:hint="eastAsia"/>
          <w:sz w:val="24"/>
          <w:highlight w:val="none"/>
          <w:u w:val="single"/>
        </w:rPr>
        <w:t xml:space="preserve">         （</w:t>
      </w:r>
      <w:r>
        <w:rPr>
          <w:rFonts w:hint="eastAsia"/>
          <w:sz w:val="24"/>
          <w:highlight w:val="none"/>
        </w:rPr>
        <w:t>先生或女士）作为我公司正式合法的代表，授予其代表我公司签署本次比选申请有关文件、与比选人进行谈判、签署合同和实施一切与此有关事宜的权利，本授权委托书无转委托。</w:t>
      </w:r>
    </w:p>
    <w:p w14:paraId="324B76DD">
      <w:pPr>
        <w:spacing w:line="360" w:lineRule="auto"/>
        <w:rPr>
          <w:sz w:val="24"/>
          <w:highlight w:val="none"/>
        </w:rPr>
      </w:pPr>
    </w:p>
    <w:p w14:paraId="524DE8F7">
      <w:pPr>
        <w:spacing w:line="360" w:lineRule="auto"/>
        <w:rPr>
          <w:sz w:val="24"/>
          <w:highlight w:val="none"/>
        </w:rPr>
      </w:pPr>
      <w:r>
        <w:rPr>
          <w:rFonts w:hint="eastAsia"/>
          <w:sz w:val="24"/>
          <w:highlight w:val="none"/>
        </w:rPr>
        <w:t>单位公章：</w:t>
      </w:r>
    </w:p>
    <w:p w14:paraId="204F2FED">
      <w:pPr>
        <w:spacing w:line="360" w:lineRule="auto"/>
        <w:rPr>
          <w:sz w:val="24"/>
          <w:highlight w:val="none"/>
        </w:rPr>
      </w:pPr>
    </w:p>
    <w:p w14:paraId="6E4267C8">
      <w:pPr>
        <w:spacing w:line="360" w:lineRule="auto"/>
        <w:rPr>
          <w:sz w:val="24"/>
          <w:highlight w:val="none"/>
        </w:rPr>
      </w:pPr>
      <w:r>
        <w:rPr>
          <w:rFonts w:hint="eastAsia"/>
          <w:sz w:val="24"/>
          <w:highlight w:val="none"/>
        </w:rPr>
        <w:t>法定代表人签字（章）：</w:t>
      </w:r>
    </w:p>
    <w:p w14:paraId="562639D7">
      <w:pPr>
        <w:spacing w:line="360" w:lineRule="auto"/>
        <w:rPr>
          <w:sz w:val="24"/>
          <w:highlight w:val="none"/>
        </w:rPr>
      </w:pPr>
    </w:p>
    <w:p w14:paraId="00E0CA60">
      <w:pPr>
        <w:spacing w:line="360" w:lineRule="auto"/>
        <w:rPr>
          <w:sz w:val="24"/>
          <w:highlight w:val="none"/>
        </w:rPr>
      </w:pPr>
      <w:r>
        <w:rPr>
          <w:rFonts w:hint="eastAsia"/>
          <w:sz w:val="24"/>
          <w:highlight w:val="none"/>
        </w:rPr>
        <w:t>法定代表人授权的代表人签字（章）：</w:t>
      </w:r>
    </w:p>
    <w:p w14:paraId="301BD6C6">
      <w:pPr>
        <w:spacing w:line="360" w:lineRule="auto"/>
        <w:rPr>
          <w:sz w:val="24"/>
          <w:highlight w:val="none"/>
        </w:rPr>
      </w:pPr>
    </w:p>
    <w:p w14:paraId="5DE24475">
      <w:pPr>
        <w:spacing w:line="360" w:lineRule="auto"/>
        <w:rPr>
          <w:sz w:val="24"/>
          <w:highlight w:val="none"/>
        </w:rPr>
      </w:pPr>
      <w:r>
        <w:rPr>
          <w:rFonts w:hint="eastAsia"/>
          <w:sz w:val="24"/>
          <w:highlight w:val="none"/>
        </w:rPr>
        <w:t>联系方式：</w:t>
      </w:r>
    </w:p>
    <w:p w14:paraId="0DFD232E">
      <w:pPr>
        <w:spacing w:line="360" w:lineRule="auto"/>
        <w:rPr>
          <w:sz w:val="24"/>
          <w:highlight w:val="none"/>
        </w:rPr>
      </w:pPr>
    </w:p>
    <w:p w14:paraId="497A8C3B">
      <w:pPr>
        <w:spacing w:line="360" w:lineRule="auto"/>
        <w:rPr>
          <w:b/>
          <w:highlight w:val="none"/>
        </w:rPr>
      </w:pPr>
      <w:r>
        <w:rPr>
          <w:rFonts w:hint="eastAsia"/>
          <w:sz w:val="24"/>
          <w:highlight w:val="none"/>
        </w:rPr>
        <w:t>日期：</w:t>
      </w:r>
      <w:r>
        <w:rPr>
          <w:b/>
          <w:highlight w:val="none"/>
        </w:rPr>
        <w:t xml:space="preserve"> </w:t>
      </w:r>
    </w:p>
    <w:p w14:paraId="6581DF78">
      <w:pPr>
        <w:spacing w:line="360" w:lineRule="auto"/>
        <w:rPr>
          <w:bCs/>
          <w:sz w:val="24"/>
          <w:highlight w:val="none"/>
        </w:rPr>
      </w:pPr>
      <w:r>
        <w:rPr>
          <w:rFonts w:hint="eastAsia"/>
          <w:bCs/>
          <w:sz w:val="24"/>
          <w:highlight w:val="none"/>
        </w:rPr>
        <w:t>附：比选申请人身份证复印件</w:t>
      </w:r>
    </w:p>
    <w:p w14:paraId="5C75563C">
      <w:pPr>
        <w:spacing w:line="360" w:lineRule="auto"/>
        <w:jc w:val="center"/>
        <w:rPr>
          <w:rFonts w:ascii="宋体" w:hAnsi="宋体"/>
          <w:color w:val="auto"/>
          <w:szCs w:val="28"/>
          <w:highlight w:val="none"/>
        </w:rPr>
      </w:pPr>
    </w:p>
    <w:p w14:paraId="13265E8D">
      <w:pPr>
        <w:pStyle w:val="6"/>
        <w:rPr>
          <w:rFonts w:ascii="宋体" w:hAnsi="宋体"/>
          <w:color w:val="auto"/>
          <w:szCs w:val="28"/>
          <w:highlight w:val="none"/>
        </w:rPr>
      </w:pPr>
    </w:p>
    <w:p w14:paraId="6EF99FBE">
      <w:pPr>
        <w:pStyle w:val="7"/>
        <w:rPr>
          <w:rFonts w:ascii="宋体" w:hAnsi="宋体"/>
          <w:color w:val="auto"/>
          <w:szCs w:val="28"/>
          <w:highlight w:val="none"/>
        </w:rPr>
      </w:pPr>
    </w:p>
    <w:p w14:paraId="0FE0E01C">
      <w:pPr>
        <w:rPr>
          <w:rFonts w:ascii="宋体" w:hAnsi="宋体"/>
          <w:color w:val="auto"/>
          <w:szCs w:val="28"/>
          <w:highlight w:val="none"/>
        </w:rPr>
      </w:pPr>
    </w:p>
    <w:p w14:paraId="3C6558C8">
      <w:pPr>
        <w:pStyle w:val="6"/>
        <w:rPr>
          <w:rFonts w:ascii="宋体" w:hAnsi="宋体"/>
          <w:color w:val="auto"/>
          <w:szCs w:val="28"/>
          <w:highlight w:val="none"/>
        </w:rPr>
      </w:pPr>
    </w:p>
    <w:p w14:paraId="271C9CB6">
      <w:pPr>
        <w:pStyle w:val="7"/>
        <w:rPr>
          <w:rFonts w:ascii="宋体" w:hAnsi="宋体"/>
          <w:color w:val="auto"/>
          <w:szCs w:val="28"/>
          <w:highlight w:val="none"/>
        </w:rPr>
      </w:pPr>
    </w:p>
    <w:p w14:paraId="48EE88FC">
      <w:pPr>
        <w:rPr>
          <w:rFonts w:ascii="宋体" w:hAnsi="宋体"/>
          <w:color w:val="auto"/>
          <w:szCs w:val="28"/>
          <w:highlight w:val="none"/>
        </w:rPr>
      </w:pPr>
    </w:p>
    <w:p w14:paraId="151D69B3">
      <w:pPr>
        <w:pStyle w:val="6"/>
        <w:rPr>
          <w:rFonts w:ascii="宋体" w:hAnsi="宋体"/>
          <w:color w:val="auto"/>
          <w:szCs w:val="28"/>
          <w:highlight w:val="none"/>
        </w:rPr>
      </w:pPr>
    </w:p>
    <w:p w14:paraId="17860B3E">
      <w:pPr>
        <w:pStyle w:val="7"/>
        <w:rPr>
          <w:highlight w:val="none"/>
        </w:rPr>
      </w:pPr>
    </w:p>
    <w:p w14:paraId="6766D72A">
      <w:pPr>
        <w:spacing w:line="360" w:lineRule="auto"/>
        <w:jc w:val="center"/>
        <w:rPr>
          <w:rFonts w:ascii="宋体" w:hAnsi="宋体"/>
          <w:b/>
          <w:color w:val="auto"/>
          <w:sz w:val="32"/>
          <w:szCs w:val="28"/>
          <w:highlight w:val="none"/>
        </w:rPr>
      </w:pPr>
      <w:r>
        <w:rPr>
          <w:rFonts w:ascii="宋体" w:hAnsi="宋体"/>
          <w:b/>
          <w:color w:val="auto"/>
          <w:sz w:val="32"/>
          <w:szCs w:val="28"/>
          <w:highlight w:val="none"/>
        </w:rPr>
        <w:t>4.承诺书</w:t>
      </w:r>
    </w:p>
    <w:p w14:paraId="72695012">
      <w:pPr>
        <w:spacing w:line="480" w:lineRule="auto"/>
        <w:rPr>
          <w:rFonts w:ascii="宋体" w:hAnsi="宋体"/>
          <w:color w:val="auto"/>
          <w:sz w:val="30"/>
          <w:szCs w:val="30"/>
          <w:highlight w:val="none"/>
        </w:rPr>
      </w:pPr>
    </w:p>
    <w:p w14:paraId="63D01369">
      <w:pPr>
        <w:adjustRightInd w:val="0"/>
        <w:spacing w:line="480" w:lineRule="auto"/>
        <w:jc w:val="left"/>
        <w:rPr>
          <w:rFonts w:ascii="宋体" w:hAnsi="宋体"/>
          <w:color w:val="auto"/>
          <w:sz w:val="32"/>
          <w:szCs w:val="32"/>
          <w:highlight w:val="none"/>
        </w:rPr>
      </w:pPr>
      <w:r>
        <w:rPr>
          <w:rFonts w:hint="eastAsia" w:ascii="宋体" w:hAnsi="宋体"/>
          <w:color w:val="auto"/>
          <w:sz w:val="32"/>
          <w:szCs w:val="32"/>
          <w:highlight w:val="none"/>
          <w:lang w:eastAsia="zh-CN"/>
        </w:rPr>
        <w:t>中国四联仪器仪表集团有限公司重庆分公司</w:t>
      </w:r>
      <w:r>
        <w:rPr>
          <w:rFonts w:hint="eastAsia" w:ascii="宋体" w:hAnsi="宋体"/>
          <w:color w:val="auto"/>
          <w:sz w:val="32"/>
          <w:szCs w:val="32"/>
          <w:highlight w:val="none"/>
        </w:rPr>
        <w:t>：</w:t>
      </w:r>
    </w:p>
    <w:p w14:paraId="2FB0C958">
      <w:pPr>
        <w:spacing w:line="480" w:lineRule="auto"/>
        <w:ind w:firstLine="640" w:firstLineChars="200"/>
        <w:rPr>
          <w:sz w:val="32"/>
          <w:szCs w:val="32"/>
          <w:highlight w:val="none"/>
        </w:rPr>
      </w:pPr>
      <w:r>
        <w:rPr>
          <w:rFonts w:hint="eastAsia" w:ascii="宋体" w:hAnsi="宋体"/>
          <w:color w:val="auto"/>
          <w:sz w:val="32"/>
          <w:szCs w:val="32"/>
          <w:highlight w:val="none"/>
        </w:rPr>
        <w:t>本公司承诺，截止递交比选申请文件之日，本公司未被纳入失信被执行人名单，</w:t>
      </w:r>
      <w:r>
        <w:rPr>
          <w:rFonts w:hint="eastAsia"/>
          <w:sz w:val="32"/>
          <w:szCs w:val="32"/>
          <w:highlight w:val="none"/>
        </w:rPr>
        <w:t>如因我公司提供的信息不真实给贵公司或第三人造成损失，由我公司承担一切赔偿责任和法律责任。</w:t>
      </w:r>
    </w:p>
    <w:p w14:paraId="3F10CB1D">
      <w:pPr>
        <w:spacing w:line="480" w:lineRule="auto"/>
        <w:ind w:firstLine="570"/>
        <w:rPr>
          <w:sz w:val="32"/>
          <w:szCs w:val="32"/>
          <w:highlight w:val="none"/>
        </w:rPr>
      </w:pPr>
      <w:r>
        <w:rPr>
          <w:rFonts w:hint="eastAsia"/>
          <w:sz w:val="32"/>
          <w:szCs w:val="32"/>
          <w:highlight w:val="none"/>
        </w:rPr>
        <w:t>特此承诺</w:t>
      </w:r>
    </w:p>
    <w:p w14:paraId="0930437B">
      <w:pPr>
        <w:spacing w:line="480" w:lineRule="auto"/>
        <w:ind w:firstLine="570"/>
        <w:rPr>
          <w:sz w:val="32"/>
          <w:szCs w:val="32"/>
          <w:highlight w:val="none"/>
        </w:rPr>
      </w:pPr>
    </w:p>
    <w:p w14:paraId="066780AF">
      <w:pPr>
        <w:spacing w:line="480" w:lineRule="auto"/>
        <w:ind w:firstLine="570"/>
        <w:rPr>
          <w:sz w:val="32"/>
          <w:szCs w:val="32"/>
          <w:highlight w:val="none"/>
        </w:rPr>
      </w:pPr>
      <w:r>
        <w:rPr>
          <w:rFonts w:hint="eastAsia"/>
          <w:sz w:val="32"/>
          <w:szCs w:val="32"/>
          <w:highlight w:val="none"/>
        </w:rPr>
        <w:t xml:space="preserve">                                比选申请人（加盖公章）：</w:t>
      </w:r>
    </w:p>
    <w:p w14:paraId="673FE618">
      <w:pPr>
        <w:spacing w:line="480" w:lineRule="auto"/>
        <w:ind w:firstLine="570"/>
        <w:rPr>
          <w:sz w:val="32"/>
          <w:szCs w:val="32"/>
          <w:highlight w:val="none"/>
        </w:rPr>
      </w:pPr>
      <w:r>
        <w:rPr>
          <w:sz w:val="32"/>
          <w:szCs w:val="32"/>
          <w:highlight w:val="none"/>
        </w:rPr>
        <w:t xml:space="preserve">                                </w:t>
      </w:r>
    </w:p>
    <w:p w14:paraId="60C875B3">
      <w:pPr>
        <w:spacing w:line="480" w:lineRule="auto"/>
        <w:ind w:firstLine="0" w:firstLineChars="0"/>
        <w:jc w:val="right"/>
        <w:rPr>
          <w:sz w:val="32"/>
          <w:szCs w:val="32"/>
          <w:highlight w:val="none"/>
        </w:rPr>
      </w:pPr>
      <w:r>
        <w:rPr>
          <w:sz w:val="32"/>
          <w:szCs w:val="32"/>
          <w:highlight w:val="none"/>
        </w:rPr>
        <w:t xml:space="preserve"> 202</w:t>
      </w:r>
      <w:r>
        <w:rPr>
          <w:rFonts w:hint="eastAsia"/>
          <w:sz w:val="32"/>
          <w:szCs w:val="32"/>
          <w:highlight w:val="none"/>
          <w:lang w:val="en-US" w:eastAsia="zh-CN"/>
        </w:rPr>
        <w:t>5</w:t>
      </w:r>
      <w:r>
        <w:rPr>
          <w:rFonts w:hint="eastAsia"/>
          <w:sz w:val="32"/>
          <w:szCs w:val="32"/>
          <w:highlight w:val="none"/>
        </w:rPr>
        <w:t xml:space="preserve">年    </w:t>
      </w:r>
      <w:r>
        <w:rPr>
          <w:sz w:val="32"/>
          <w:szCs w:val="32"/>
          <w:highlight w:val="none"/>
        </w:rPr>
        <w:t xml:space="preserve"> </w:t>
      </w:r>
      <w:r>
        <w:rPr>
          <w:rFonts w:hint="eastAsia"/>
          <w:sz w:val="32"/>
          <w:szCs w:val="32"/>
          <w:highlight w:val="none"/>
        </w:rPr>
        <w:t xml:space="preserve">月  </w:t>
      </w:r>
      <w:r>
        <w:rPr>
          <w:sz w:val="32"/>
          <w:szCs w:val="32"/>
          <w:highlight w:val="none"/>
        </w:rPr>
        <w:t xml:space="preserve"> </w:t>
      </w:r>
      <w:r>
        <w:rPr>
          <w:rFonts w:hint="eastAsia"/>
          <w:sz w:val="32"/>
          <w:szCs w:val="32"/>
          <w:highlight w:val="none"/>
        </w:rPr>
        <w:t xml:space="preserve">   日</w:t>
      </w:r>
    </w:p>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50A5462">
      <w:pPr>
        <w:rPr>
          <w:rFonts w:ascii="宋体" w:hAnsi="宋体" w:cs="宋体"/>
          <w:sz w:val="32"/>
          <w:szCs w:val="32"/>
          <w:highlight w:val="none"/>
        </w:rPr>
      </w:pPr>
    </w:p>
    <w:p w14:paraId="1FBB07A9">
      <w:pPr>
        <w:ind w:firstLine="9760" w:firstLineChars="3050"/>
        <w:rPr>
          <w:rFonts w:ascii="宋体" w:hAnsi="宋体" w:cs="宋体"/>
          <w:snapToGrid w:val="0"/>
          <w:color w:val="auto"/>
          <w:sz w:val="32"/>
          <w:szCs w:val="32"/>
          <w:highlight w:val="none"/>
        </w:rPr>
      </w:pPr>
    </w:p>
    <w:p w14:paraId="6BFAD451">
      <w:pPr>
        <w:rPr>
          <w:sz w:val="32"/>
          <w:szCs w:val="32"/>
          <w:highlight w:val="none"/>
        </w:rPr>
      </w:pPr>
    </w:p>
    <w:sectPr>
      <w:headerReference r:id="rId4" w:type="default"/>
      <w:footerReference r:id="rId5" w:type="default"/>
      <w:footerReference r:id="rId6" w:type="even"/>
      <w:pgSz w:w="11906" w:h="16838"/>
      <w:pgMar w:top="1304" w:right="1304" w:bottom="130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汉仪书宋二KW">
    <w:altName w:val="宋体"/>
    <w:panose1 w:val="00020600040101010101"/>
    <w:charset w:val="86"/>
    <w:family w:val="auto"/>
    <w:pitch w:val="default"/>
    <w:sig w:usb0="00000000" w:usb1="00000000" w:usb2="00000016"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Times New Roman Regular">
    <w:altName w:val="Times New Roman"/>
    <w:panose1 w:val="02020503050405090304"/>
    <w:charset w:val="00"/>
    <w:family w:val="auto"/>
    <w:pitch w:val="default"/>
    <w:sig w:usb0="00000000" w:usb1="00000000" w:usb2="00000001" w:usb3="00000000" w:csb0="400001BF" w:csb1="DFF70000"/>
  </w:font>
  <w:font w:name="MingLiU">
    <w:altName w:val="汉仪中圆B5"/>
    <w:panose1 w:val="02010609000101010101"/>
    <w:charset w:val="88"/>
    <w:family w:val="modern"/>
    <w:pitch w:val="default"/>
    <w:sig w:usb0="00000000" w:usb1="00000000" w:usb2="00000010" w:usb3="00000000" w:csb0="00100000" w:csb1="00000000"/>
  </w:font>
  <w:font w:name="宋体-繁">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汉仪中圆B5">
    <w:panose1 w:val="02010600000101010101"/>
    <w:charset w:val="88"/>
    <w:family w:val="auto"/>
    <w:pitch w:val="default"/>
    <w:sig w:usb0="00000001" w:usb1="080E0800" w:usb2="00000002" w:usb3="00000000" w:csb0="001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DB24B">
    <w:pPr>
      <w:pStyle w:val="10"/>
      <w:jc w:val="center"/>
    </w:pPr>
    <w:r>
      <w:fldChar w:fldCharType="begin"/>
    </w:r>
    <w:r>
      <w:instrText xml:space="preserve">PAGE   \* MERGEFORMAT</w:instrText>
    </w:r>
    <w:r>
      <w:fldChar w:fldCharType="separate"/>
    </w:r>
    <w:r>
      <w:rPr>
        <w:lang w:val="zh-CN"/>
      </w:rPr>
      <w:t>14</w:t>
    </w:r>
    <w:r>
      <w:fldChar w:fldCharType="end"/>
    </w:r>
  </w:p>
  <w:p w14:paraId="3971E9F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AE04B">
    <w:pPr>
      <w:pStyle w:val="10"/>
      <w:framePr w:wrap="around" w:vAnchor="text" w:hAnchor="margin" w:xAlign="center" w:y="1"/>
      <w:rPr>
        <w:rStyle w:val="19"/>
      </w:rPr>
    </w:pPr>
    <w:r>
      <w:fldChar w:fldCharType="begin"/>
    </w:r>
    <w:r>
      <w:rPr>
        <w:rStyle w:val="19"/>
      </w:rPr>
      <w:instrText xml:space="preserve">PAGE  </w:instrText>
    </w:r>
    <w:r>
      <w:fldChar w:fldCharType="separate"/>
    </w:r>
    <w:r>
      <w:rPr>
        <w:rStyle w:val="19"/>
      </w:rPr>
      <w:t>21</w:t>
    </w:r>
    <w:r>
      <w:fldChar w:fldCharType="end"/>
    </w:r>
  </w:p>
  <w:p w14:paraId="18E60A7D">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EC57B">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218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81859"/>
    <w:multiLevelType w:val="singleLevel"/>
    <w:tmpl w:val="8D681859"/>
    <w:lvl w:ilvl="0" w:tentative="0">
      <w:start w:val="4"/>
      <w:numFmt w:val="chineseCounting"/>
      <w:suff w:val="space"/>
      <w:lvlText w:val="第%1章"/>
      <w:lvlJc w:val="left"/>
      <w:rPr>
        <w:rFonts w:hint="eastAsia"/>
      </w:rPr>
    </w:lvl>
  </w:abstractNum>
  <w:abstractNum w:abstractNumId="1">
    <w:nsid w:val="9B5AA49C"/>
    <w:multiLevelType w:val="singleLevel"/>
    <w:tmpl w:val="9B5AA49C"/>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bordersDoNotSurroundHeader w:val="0"/>
  <w:bordersDoNotSurroundFooter w:val="0"/>
  <w:trackRevisions w:val="1"/>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1OTNkYjI0ZDY4ZTg1MDJjNTRiNDI1ZmUxZTcwNjMifQ=="/>
  </w:docVars>
  <w:rsids>
    <w:rsidRoot w:val="00484790"/>
    <w:rsid w:val="000023E5"/>
    <w:rsid w:val="000217E2"/>
    <w:rsid w:val="0002229E"/>
    <w:rsid w:val="00027871"/>
    <w:rsid w:val="00071607"/>
    <w:rsid w:val="000749E3"/>
    <w:rsid w:val="000A69D5"/>
    <w:rsid w:val="000B7CC8"/>
    <w:rsid w:val="000C5348"/>
    <w:rsid w:val="001513CF"/>
    <w:rsid w:val="00182A20"/>
    <w:rsid w:val="00182FA3"/>
    <w:rsid w:val="001974F1"/>
    <w:rsid w:val="001A3DC3"/>
    <w:rsid w:val="001B285A"/>
    <w:rsid w:val="001C30AF"/>
    <w:rsid w:val="001C3EF7"/>
    <w:rsid w:val="001C5AE3"/>
    <w:rsid w:val="001D4F38"/>
    <w:rsid w:val="001E6A84"/>
    <w:rsid w:val="001F6F4F"/>
    <w:rsid w:val="0020078E"/>
    <w:rsid w:val="00203A27"/>
    <w:rsid w:val="00214A92"/>
    <w:rsid w:val="002226C7"/>
    <w:rsid w:val="00252ACD"/>
    <w:rsid w:val="002672EF"/>
    <w:rsid w:val="002A791E"/>
    <w:rsid w:val="002C6B37"/>
    <w:rsid w:val="00311847"/>
    <w:rsid w:val="003140C7"/>
    <w:rsid w:val="00321425"/>
    <w:rsid w:val="00350D06"/>
    <w:rsid w:val="00360018"/>
    <w:rsid w:val="003D17F2"/>
    <w:rsid w:val="003D6E2B"/>
    <w:rsid w:val="00402434"/>
    <w:rsid w:val="00437490"/>
    <w:rsid w:val="00484790"/>
    <w:rsid w:val="00493443"/>
    <w:rsid w:val="004F5664"/>
    <w:rsid w:val="00502BC8"/>
    <w:rsid w:val="00504297"/>
    <w:rsid w:val="00514E48"/>
    <w:rsid w:val="00516BB5"/>
    <w:rsid w:val="0055366F"/>
    <w:rsid w:val="00567501"/>
    <w:rsid w:val="00572608"/>
    <w:rsid w:val="00573B0B"/>
    <w:rsid w:val="0057652B"/>
    <w:rsid w:val="005847FC"/>
    <w:rsid w:val="005A2E1D"/>
    <w:rsid w:val="005F1418"/>
    <w:rsid w:val="00613D01"/>
    <w:rsid w:val="006167D9"/>
    <w:rsid w:val="006208AE"/>
    <w:rsid w:val="00630721"/>
    <w:rsid w:val="00673EF3"/>
    <w:rsid w:val="00696765"/>
    <w:rsid w:val="006A193D"/>
    <w:rsid w:val="006B335C"/>
    <w:rsid w:val="006C0F51"/>
    <w:rsid w:val="00711BA8"/>
    <w:rsid w:val="007218E5"/>
    <w:rsid w:val="0074676A"/>
    <w:rsid w:val="00750B45"/>
    <w:rsid w:val="007523E2"/>
    <w:rsid w:val="007558C1"/>
    <w:rsid w:val="00761B43"/>
    <w:rsid w:val="007764C2"/>
    <w:rsid w:val="007A2FA7"/>
    <w:rsid w:val="007A57A2"/>
    <w:rsid w:val="007B015A"/>
    <w:rsid w:val="007B68ED"/>
    <w:rsid w:val="008232ED"/>
    <w:rsid w:val="00861035"/>
    <w:rsid w:val="008631BC"/>
    <w:rsid w:val="008C55A3"/>
    <w:rsid w:val="008D54FD"/>
    <w:rsid w:val="008E61AB"/>
    <w:rsid w:val="008F0C36"/>
    <w:rsid w:val="0092478B"/>
    <w:rsid w:val="00926314"/>
    <w:rsid w:val="0094627A"/>
    <w:rsid w:val="00950063"/>
    <w:rsid w:val="009778A9"/>
    <w:rsid w:val="00984684"/>
    <w:rsid w:val="009848F4"/>
    <w:rsid w:val="00985688"/>
    <w:rsid w:val="00985A36"/>
    <w:rsid w:val="009B3763"/>
    <w:rsid w:val="009D1C18"/>
    <w:rsid w:val="009D7DAF"/>
    <w:rsid w:val="00A161AF"/>
    <w:rsid w:val="00A25129"/>
    <w:rsid w:val="00A41E07"/>
    <w:rsid w:val="00A75B26"/>
    <w:rsid w:val="00AA3DE6"/>
    <w:rsid w:val="00AB174A"/>
    <w:rsid w:val="00AC4D8D"/>
    <w:rsid w:val="00B10AAE"/>
    <w:rsid w:val="00B24A2D"/>
    <w:rsid w:val="00B372D2"/>
    <w:rsid w:val="00B46071"/>
    <w:rsid w:val="00B53291"/>
    <w:rsid w:val="00B96737"/>
    <w:rsid w:val="00B9734D"/>
    <w:rsid w:val="00BA3AA6"/>
    <w:rsid w:val="00BC299D"/>
    <w:rsid w:val="00BD258E"/>
    <w:rsid w:val="00BE6453"/>
    <w:rsid w:val="00C02936"/>
    <w:rsid w:val="00C703C6"/>
    <w:rsid w:val="00C74D4B"/>
    <w:rsid w:val="00C93900"/>
    <w:rsid w:val="00CD2B41"/>
    <w:rsid w:val="00CD358B"/>
    <w:rsid w:val="00CD7293"/>
    <w:rsid w:val="00CF2ED6"/>
    <w:rsid w:val="00D765E5"/>
    <w:rsid w:val="00D8196F"/>
    <w:rsid w:val="00DA1DB1"/>
    <w:rsid w:val="00DB53D6"/>
    <w:rsid w:val="00DC0727"/>
    <w:rsid w:val="00DE67E1"/>
    <w:rsid w:val="00E17092"/>
    <w:rsid w:val="00EB3249"/>
    <w:rsid w:val="00EB5752"/>
    <w:rsid w:val="00ED3034"/>
    <w:rsid w:val="00EF0892"/>
    <w:rsid w:val="00F54E6B"/>
    <w:rsid w:val="00F63C2D"/>
    <w:rsid w:val="00FB1AD3"/>
    <w:rsid w:val="00FB5616"/>
    <w:rsid w:val="00FE52F0"/>
    <w:rsid w:val="00FE787B"/>
    <w:rsid w:val="00FF4EEF"/>
    <w:rsid w:val="04425491"/>
    <w:rsid w:val="049C5281"/>
    <w:rsid w:val="07593029"/>
    <w:rsid w:val="081F1ACE"/>
    <w:rsid w:val="08DD2784"/>
    <w:rsid w:val="0AD41965"/>
    <w:rsid w:val="0ADC5A7B"/>
    <w:rsid w:val="0D6D171D"/>
    <w:rsid w:val="0E2EA44E"/>
    <w:rsid w:val="0F2D5079"/>
    <w:rsid w:val="0F663677"/>
    <w:rsid w:val="0F6E58E9"/>
    <w:rsid w:val="10111B79"/>
    <w:rsid w:val="10861954"/>
    <w:rsid w:val="10914580"/>
    <w:rsid w:val="11335637"/>
    <w:rsid w:val="13FC66C5"/>
    <w:rsid w:val="14972381"/>
    <w:rsid w:val="14F541EC"/>
    <w:rsid w:val="1577999D"/>
    <w:rsid w:val="16BD7B2E"/>
    <w:rsid w:val="17D66D1D"/>
    <w:rsid w:val="17F67878"/>
    <w:rsid w:val="17FE5235"/>
    <w:rsid w:val="19DD2258"/>
    <w:rsid w:val="1B481CDF"/>
    <w:rsid w:val="1B831FA6"/>
    <w:rsid w:val="1BFF1B25"/>
    <w:rsid w:val="1D253440"/>
    <w:rsid w:val="1D4E5A27"/>
    <w:rsid w:val="1DF22EE6"/>
    <w:rsid w:val="1F3FD4A3"/>
    <w:rsid w:val="1F6D32FF"/>
    <w:rsid w:val="1FCFCA7E"/>
    <w:rsid w:val="1FCFCE6C"/>
    <w:rsid w:val="1FF72712"/>
    <w:rsid w:val="1FFC0419"/>
    <w:rsid w:val="1FFE50DA"/>
    <w:rsid w:val="22FD5AA5"/>
    <w:rsid w:val="23175147"/>
    <w:rsid w:val="23767510"/>
    <w:rsid w:val="24A67094"/>
    <w:rsid w:val="258C21D1"/>
    <w:rsid w:val="25FB0DCE"/>
    <w:rsid w:val="261D2B93"/>
    <w:rsid w:val="26243E02"/>
    <w:rsid w:val="275071DF"/>
    <w:rsid w:val="275FC433"/>
    <w:rsid w:val="279978A1"/>
    <w:rsid w:val="28976F46"/>
    <w:rsid w:val="2A456952"/>
    <w:rsid w:val="2B1E3331"/>
    <w:rsid w:val="2B5677E4"/>
    <w:rsid w:val="2BBF8641"/>
    <w:rsid w:val="2BF037CA"/>
    <w:rsid w:val="2C007235"/>
    <w:rsid w:val="2C414D1A"/>
    <w:rsid w:val="2C7D214C"/>
    <w:rsid w:val="2DF71857"/>
    <w:rsid w:val="2EEC3471"/>
    <w:rsid w:val="2EFFFAA4"/>
    <w:rsid w:val="2F23780F"/>
    <w:rsid w:val="2F2E6FE6"/>
    <w:rsid w:val="2F530BCF"/>
    <w:rsid w:val="2F6179C7"/>
    <w:rsid w:val="2F6F5795"/>
    <w:rsid w:val="2FBF0379"/>
    <w:rsid w:val="2FE7BC67"/>
    <w:rsid w:val="30395C43"/>
    <w:rsid w:val="31BFA779"/>
    <w:rsid w:val="338374B5"/>
    <w:rsid w:val="33B9701D"/>
    <w:rsid w:val="33BFD1CD"/>
    <w:rsid w:val="33DE5346"/>
    <w:rsid w:val="33FF97D1"/>
    <w:rsid w:val="34EE16F2"/>
    <w:rsid w:val="350452FE"/>
    <w:rsid w:val="352F65ED"/>
    <w:rsid w:val="353FB833"/>
    <w:rsid w:val="35572F4C"/>
    <w:rsid w:val="357D7F05"/>
    <w:rsid w:val="35BF6BEA"/>
    <w:rsid w:val="35FC110A"/>
    <w:rsid w:val="366C6407"/>
    <w:rsid w:val="36B632F5"/>
    <w:rsid w:val="36FF7BE6"/>
    <w:rsid w:val="36FFF2C8"/>
    <w:rsid w:val="37BF2ED1"/>
    <w:rsid w:val="37C077B1"/>
    <w:rsid w:val="37CA3684"/>
    <w:rsid w:val="381E0E7B"/>
    <w:rsid w:val="38AE3672"/>
    <w:rsid w:val="39810D86"/>
    <w:rsid w:val="39AE31FE"/>
    <w:rsid w:val="3A7F3DAD"/>
    <w:rsid w:val="3A97F708"/>
    <w:rsid w:val="3ACC7DDF"/>
    <w:rsid w:val="3B4E1CED"/>
    <w:rsid w:val="3B75AFBB"/>
    <w:rsid w:val="3B7FD4E1"/>
    <w:rsid w:val="3C7916BA"/>
    <w:rsid w:val="3CDB56A4"/>
    <w:rsid w:val="3D3703DB"/>
    <w:rsid w:val="3D764542"/>
    <w:rsid w:val="3DD36F70"/>
    <w:rsid w:val="3E721B31"/>
    <w:rsid w:val="3E7D56D7"/>
    <w:rsid w:val="3E97396F"/>
    <w:rsid w:val="3EDE762B"/>
    <w:rsid w:val="3EEB2328"/>
    <w:rsid w:val="3EF6ECD3"/>
    <w:rsid w:val="3EFBA688"/>
    <w:rsid w:val="3EFFD0B5"/>
    <w:rsid w:val="3F2F34C8"/>
    <w:rsid w:val="3F76751E"/>
    <w:rsid w:val="3F77816D"/>
    <w:rsid w:val="3F9011FB"/>
    <w:rsid w:val="3F9C4019"/>
    <w:rsid w:val="3FB1D05B"/>
    <w:rsid w:val="3FE7015F"/>
    <w:rsid w:val="3FF5A133"/>
    <w:rsid w:val="3FF92FCC"/>
    <w:rsid w:val="3FFCF06F"/>
    <w:rsid w:val="3FFED3DC"/>
    <w:rsid w:val="41DA1719"/>
    <w:rsid w:val="41E40104"/>
    <w:rsid w:val="41FFE88C"/>
    <w:rsid w:val="4577128F"/>
    <w:rsid w:val="46206744"/>
    <w:rsid w:val="46BF32C4"/>
    <w:rsid w:val="46CF5273"/>
    <w:rsid w:val="46ED13D2"/>
    <w:rsid w:val="46FD05D5"/>
    <w:rsid w:val="473C30CD"/>
    <w:rsid w:val="479559FD"/>
    <w:rsid w:val="47AD0F98"/>
    <w:rsid w:val="47AF2F53"/>
    <w:rsid w:val="47ED22BB"/>
    <w:rsid w:val="47F64B7E"/>
    <w:rsid w:val="494D039A"/>
    <w:rsid w:val="49F201DD"/>
    <w:rsid w:val="4B9F32EE"/>
    <w:rsid w:val="4C147688"/>
    <w:rsid w:val="4CA50FD4"/>
    <w:rsid w:val="4CDE1CC3"/>
    <w:rsid w:val="4DB92BBB"/>
    <w:rsid w:val="4DE54B34"/>
    <w:rsid w:val="4E1C4782"/>
    <w:rsid w:val="4EBD4A08"/>
    <w:rsid w:val="4ED73ACC"/>
    <w:rsid w:val="4EEA0D24"/>
    <w:rsid w:val="4F14132D"/>
    <w:rsid w:val="4FBBEC05"/>
    <w:rsid w:val="50B909AE"/>
    <w:rsid w:val="50E210EA"/>
    <w:rsid w:val="51357465"/>
    <w:rsid w:val="516334F6"/>
    <w:rsid w:val="51AEC175"/>
    <w:rsid w:val="51C75E29"/>
    <w:rsid w:val="523D116B"/>
    <w:rsid w:val="525E180D"/>
    <w:rsid w:val="527930CA"/>
    <w:rsid w:val="529374C4"/>
    <w:rsid w:val="52F8EA0A"/>
    <w:rsid w:val="55A8040D"/>
    <w:rsid w:val="55FFB0D4"/>
    <w:rsid w:val="561D34FB"/>
    <w:rsid w:val="56881C22"/>
    <w:rsid w:val="57FF2874"/>
    <w:rsid w:val="58F702C5"/>
    <w:rsid w:val="59A06EA9"/>
    <w:rsid w:val="59EF1A28"/>
    <w:rsid w:val="5AFD85B4"/>
    <w:rsid w:val="5AFF1817"/>
    <w:rsid w:val="5B9FA1DF"/>
    <w:rsid w:val="5BB64468"/>
    <w:rsid w:val="5BDE07ED"/>
    <w:rsid w:val="5BEF26D7"/>
    <w:rsid w:val="5BFB0DBE"/>
    <w:rsid w:val="5BFB2F68"/>
    <w:rsid w:val="5BFF808B"/>
    <w:rsid w:val="5C37F1BE"/>
    <w:rsid w:val="5C7E4B00"/>
    <w:rsid w:val="5D369823"/>
    <w:rsid w:val="5D4B6362"/>
    <w:rsid w:val="5D989E37"/>
    <w:rsid w:val="5DDEEAA1"/>
    <w:rsid w:val="5DFF671B"/>
    <w:rsid w:val="5EE73EAB"/>
    <w:rsid w:val="5EEFD3AE"/>
    <w:rsid w:val="5EEFD90D"/>
    <w:rsid w:val="5EF24817"/>
    <w:rsid w:val="5F3F4E56"/>
    <w:rsid w:val="5F8B21CC"/>
    <w:rsid w:val="5F8F6332"/>
    <w:rsid w:val="5FBB7C42"/>
    <w:rsid w:val="5FBFDB85"/>
    <w:rsid w:val="5FDEDA39"/>
    <w:rsid w:val="5FE5E2FD"/>
    <w:rsid w:val="5FFDEE90"/>
    <w:rsid w:val="60065385"/>
    <w:rsid w:val="6065159A"/>
    <w:rsid w:val="60E10A00"/>
    <w:rsid w:val="61330309"/>
    <w:rsid w:val="614F52FF"/>
    <w:rsid w:val="617F52FC"/>
    <w:rsid w:val="61E3041B"/>
    <w:rsid w:val="61FF10AD"/>
    <w:rsid w:val="6262480B"/>
    <w:rsid w:val="62B05B7C"/>
    <w:rsid w:val="630A73CF"/>
    <w:rsid w:val="630E551F"/>
    <w:rsid w:val="63662F8E"/>
    <w:rsid w:val="637509D0"/>
    <w:rsid w:val="63F8A6EC"/>
    <w:rsid w:val="643FD3D4"/>
    <w:rsid w:val="64450C8A"/>
    <w:rsid w:val="64B0702C"/>
    <w:rsid w:val="64DB1D27"/>
    <w:rsid w:val="65B0017A"/>
    <w:rsid w:val="6660394E"/>
    <w:rsid w:val="667F6217"/>
    <w:rsid w:val="66FD7BF0"/>
    <w:rsid w:val="674F15E9"/>
    <w:rsid w:val="67EFD26A"/>
    <w:rsid w:val="67F1C094"/>
    <w:rsid w:val="67F307E9"/>
    <w:rsid w:val="67FF0264"/>
    <w:rsid w:val="69717C20"/>
    <w:rsid w:val="69ADCD91"/>
    <w:rsid w:val="6A9763E2"/>
    <w:rsid w:val="6AE7D626"/>
    <w:rsid w:val="6BAB5855"/>
    <w:rsid w:val="6BFFD25F"/>
    <w:rsid w:val="6C03665F"/>
    <w:rsid w:val="6CD6742D"/>
    <w:rsid w:val="6DAF7FF7"/>
    <w:rsid w:val="6DBB7E98"/>
    <w:rsid w:val="6DBEB69D"/>
    <w:rsid w:val="6E064C9F"/>
    <w:rsid w:val="6E267C18"/>
    <w:rsid w:val="6ECD578D"/>
    <w:rsid w:val="6EDAC815"/>
    <w:rsid w:val="6F1D2AC9"/>
    <w:rsid w:val="6F4F6B40"/>
    <w:rsid w:val="6F579861"/>
    <w:rsid w:val="6F73A9A4"/>
    <w:rsid w:val="6F7A85F6"/>
    <w:rsid w:val="6F7ED7DE"/>
    <w:rsid w:val="6F9437C5"/>
    <w:rsid w:val="6FBDB14C"/>
    <w:rsid w:val="6FCDF737"/>
    <w:rsid w:val="6FD1BB15"/>
    <w:rsid w:val="6FE94D4E"/>
    <w:rsid w:val="6FFBD441"/>
    <w:rsid w:val="6FFFF54C"/>
    <w:rsid w:val="700C6D1B"/>
    <w:rsid w:val="7010265C"/>
    <w:rsid w:val="70A4457A"/>
    <w:rsid w:val="70C70D88"/>
    <w:rsid w:val="70FD8564"/>
    <w:rsid w:val="736D3179"/>
    <w:rsid w:val="74DE9552"/>
    <w:rsid w:val="755C1BA8"/>
    <w:rsid w:val="756F2086"/>
    <w:rsid w:val="757FF85F"/>
    <w:rsid w:val="759C9AF1"/>
    <w:rsid w:val="75BD31CF"/>
    <w:rsid w:val="75FBC420"/>
    <w:rsid w:val="76320737"/>
    <w:rsid w:val="76966F18"/>
    <w:rsid w:val="76CF810C"/>
    <w:rsid w:val="76D85AF5"/>
    <w:rsid w:val="76FFD102"/>
    <w:rsid w:val="771039F8"/>
    <w:rsid w:val="772D9ABD"/>
    <w:rsid w:val="772E8B97"/>
    <w:rsid w:val="772F4DED"/>
    <w:rsid w:val="773A40B7"/>
    <w:rsid w:val="7779BF45"/>
    <w:rsid w:val="777B4765"/>
    <w:rsid w:val="777D7522"/>
    <w:rsid w:val="778D44C7"/>
    <w:rsid w:val="77C94423"/>
    <w:rsid w:val="77DD6C98"/>
    <w:rsid w:val="77DF7E3B"/>
    <w:rsid w:val="77EF43CC"/>
    <w:rsid w:val="77F78AB5"/>
    <w:rsid w:val="77FCBA42"/>
    <w:rsid w:val="77FDCE3A"/>
    <w:rsid w:val="78005A87"/>
    <w:rsid w:val="78144598"/>
    <w:rsid w:val="787C21CD"/>
    <w:rsid w:val="78FDE807"/>
    <w:rsid w:val="79702245"/>
    <w:rsid w:val="797D326C"/>
    <w:rsid w:val="79E9EF01"/>
    <w:rsid w:val="79F350A7"/>
    <w:rsid w:val="7A293A01"/>
    <w:rsid w:val="7ABFF6FF"/>
    <w:rsid w:val="7AE051F2"/>
    <w:rsid w:val="7AEB0BB3"/>
    <w:rsid w:val="7AED703C"/>
    <w:rsid w:val="7AEF4A78"/>
    <w:rsid w:val="7AFD3EBF"/>
    <w:rsid w:val="7B3F459B"/>
    <w:rsid w:val="7B6D68E6"/>
    <w:rsid w:val="7B7F8349"/>
    <w:rsid w:val="7BDA3B38"/>
    <w:rsid w:val="7BEC3136"/>
    <w:rsid w:val="7BEFBFB6"/>
    <w:rsid w:val="7BF440B9"/>
    <w:rsid w:val="7BFE2172"/>
    <w:rsid w:val="7BFF4631"/>
    <w:rsid w:val="7C14E9CB"/>
    <w:rsid w:val="7CE93EFB"/>
    <w:rsid w:val="7CF58074"/>
    <w:rsid w:val="7D59F2A2"/>
    <w:rsid w:val="7D77E366"/>
    <w:rsid w:val="7DCF1F70"/>
    <w:rsid w:val="7DD5136D"/>
    <w:rsid w:val="7DD7470A"/>
    <w:rsid w:val="7DF9CCEE"/>
    <w:rsid w:val="7DFEAAF7"/>
    <w:rsid w:val="7DFF79E6"/>
    <w:rsid w:val="7DFFEE49"/>
    <w:rsid w:val="7E1F2121"/>
    <w:rsid w:val="7E312ADF"/>
    <w:rsid w:val="7E74E4B8"/>
    <w:rsid w:val="7E8458A8"/>
    <w:rsid w:val="7ED63A11"/>
    <w:rsid w:val="7EEB8F69"/>
    <w:rsid w:val="7EF54CC2"/>
    <w:rsid w:val="7EF719BA"/>
    <w:rsid w:val="7EFD0B51"/>
    <w:rsid w:val="7EFF7908"/>
    <w:rsid w:val="7F2FB262"/>
    <w:rsid w:val="7F5EE728"/>
    <w:rsid w:val="7F5F6F2D"/>
    <w:rsid w:val="7F67232D"/>
    <w:rsid w:val="7F8F6C41"/>
    <w:rsid w:val="7F9A8380"/>
    <w:rsid w:val="7FAB684A"/>
    <w:rsid w:val="7FAB7731"/>
    <w:rsid w:val="7FABF631"/>
    <w:rsid w:val="7FC6B3BD"/>
    <w:rsid w:val="7FDB51A5"/>
    <w:rsid w:val="7FDD2977"/>
    <w:rsid w:val="7FEE43E9"/>
    <w:rsid w:val="7FEE7193"/>
    <w:rsid w:val="7FF17485"/>
    <w:rsid w:val="7FF716D9"/>
    <w:rsid w:val="7FF7DFA2"/>
    <w:rsid w:val="7FF91E15"/>
    <w:rsid w:val="7FFA8B8F"/>
    <w:rsid w:val="7FFB1F8A"/>
    <w:rsid w:val="7FFB5871"/>
    <w:rsid w:val="7FFBB367"/>
    <w:rsid w:val="7FFBB828"/>
    <w:rsid w:val="7FFD1592"/>
    <w:rsid w:val="7FFD16C7"/>
    <w:rsid w:val="7FFDFBB8"/>
    <w:rsid w:val="7FFE3A25"/>
    <w:rsid w:val="7FFE8D30"/>
    <w:rsid w:val="7FFFC346"/>
    <w:rsid w:val="8BFACD74"/>
    <w:rsid w:val="8DFFCE3F"/>
    <w:rsid w:val="8F7F5C73"/>
    <w:rsid w:val="955AD646"/>
    <w:rsid w:val="975FD646"/>
    <w:rsid w:val="97E259E8"/>
    <w:rsid w:val="9BBF063D"/>
    <w:rsid w:val="9BFFE96F"/>
    <w:rsid w:val="9DDF59C9"/>
    <w:rsid w:val="9DDFD16A"/>
    <w:rsid w:val="9E6F6E9F"/>
    <w:rsid w:val="9F3927EA"/>
    <w:rsid w:val="9FDE2E54"/>
    <w:rsid w:val="A7540649"/>
    <w:rsid w:val="A7F52215"/>
    <w:rsid w:val="A97ADF23"/>
    <w:rsid w:val="AB3FAC28"/>
    <w:rsid w:val="ABAF4BAE"/>
    <w:rsid w:val="AC7F4DB5"/>
    <w:rsid w:val="AE0F339D"/>
    <w:rsid w:val="AEFD71BE"/>
    <w:rsid w:val="AFDDDBF8"/>
    <w:rsid w:val="AFEC63F9"/>
    <w:rsid w:val="AFFFA23E"/>
    <w:rsid w:val="B0DED874"/>
    <w:rsid w:val="B3402ED5"/>
    <w:rsid w:val="B36F67BC"/>
    <w:rsid w:val="B4FF2E3C"/>
    <w:rsid w:val="B599EFF8"/>
    <w:rsid w:val="B5ADD910"/>
    <w:rsid w:val="B6DC2FF9"/>
    <w:rsid w:val="B6E7128C"/>
    <w:rsid w:val="B6F8D914"/>
    <w:rsid w:val="B71EE357"/>
    <w:rsid w:val="B72D7EEF"/>
    <w:rsid w:val="B73F1213"/>
    <w:rsid w:val="B7772926"/>
    <w:rsid w:val="B7E7DD28"/>
    <w:rsid w:val="B7EDA928"/>
    <w:rsid w:val="B7FF7926"/>
    <w:rsid w:val="B7FF794D"/>
    <w:rsid w:val="B97B50A9"/>
    <w:rsid w:val="B9FF2AC0"/>
    <w:rsid w:val="BB6740F1"/>
    <w:rsid w:val="BBECE038"/>
    <w:rsid w:val="BBFCA0EB"/>
    <w:rsid w:val="BCBD1F19"/>
    <w:rsid w:val="BDAE8588"/>
    <w:rsid w:val="BDDCC9E8"/>
    <w:rsid w:val="BDDEBC98"/>
    <w:rsid w:val="BDF62A4B"/>
    <w:rsid w:val="BDFF01D6"/>
    <w:rsid w:val="BE769215"/>
    <w:rsid w:val="BEE33846"/>
    <w:rsid w:val="BEEB2A4B"/>
    <w:rsid w:val="BEEDF587"/>
    <w:rsid w:val="BEF7E392"/>
    <w:rsid w:val="BEFB43DD"/>
    <w:rsid w:val="BEFFA3A1"/>
    <w:rsid w:val="BEFFAE6A"/>
    <w:rsid w:val="BF0FADB6"/>
    <w:rsid w:val="BF16276E"/>
    <w:rsid w:val="BF1F7243"/>
    <w:rsid w:val="BF4F29D2"/>
    <w:rsid w:val="BFCE3533"/>
    <w:rsid w:val="BFDB0CDA"/>
    <w:rsid w:val="BFFBFC7E"/>
    <w:rsid w:val="BFFC69B8"/>
    <w:rsid w:val="BFFD8314"/>
    <w:rsid w:val="BFFE931E"/>
    <w:rsid w:val="BFFF323A"/>
    <w:rsid w:val="BFFFF06D"/>
    <w:rsid w:val="C5FF5ADA"/>
    <w:rsid w:val="C7DAA416"/>
    <w:rsid w:val="C7FD3921"/>
    <w:rsid w:val="CADF956A"/>
    <w:rsid w:val="CBFB67BD"/>
    <w:rsid w:val="CC7DFD4D"/>
    <w:rsid w:val="CDE7D310"/>
    <w:rsid w:val="CDFD0E68"/>
    <w:rsid w:val="CE59DF09"/>
    <w:rsid w:val="CEEA3543"/>
    <w:rsid w:val="CF3FE1F8"/>
    <w:rsid w:val="CF4ACE67"/>
    <w:rsid w:val="D25F85B7"/>
    <w:rsid w:val="D3FFA773"/>
    <w:rsid w:val="D57F1D4C"/>
    <w:rsid w:val="D5DB4322"/>
    <w:rsid w:val="D78D7474"/>
    <w:rsid w:val="D7AB4EE4"/>
    <w:rsid w:val="D7ED2A76"/>
    <w:rsid w:val="DA6BC081"/>
    <w:rsid w:val="DB3F5CDD"/>
    <w:rsid w:val="DB7B2669"/>
    <w:rsid w:val="DB7DAC96"/>
    <w:rsid w:val="DBC51135"/>
    <w:rsid w:val="DBF54B9E"/>
    <w:rsid w:val="DBFF2A2C"/>
    <w:rsid w:val="DD1B1210"/>
    <w:rsid w:val="DD1F799E"/>
    <w:rsid w:val="DDD2ECAB"/>
    <w:rsid w:val="DDFEBF85"/>
    <w:rsid w:val="DE7BDC6A"/>
    <w:rsid w:val="DEF2913A"/>
    <w:rsid w:val="DEFD9C80"/>
    <w:rsid w:val="DFB5320B"/>
    <w:rsid w:val="DFD7F167"/>
    <w:rsid w:val="DFDF92FF"/>
    <w:rsid w:val="DFFA3FF7"/>
    <w:rsid w:val="DFFD9617"/>
    <w:rsid w:val="DFFDD431"/>
    <w:rsid w:val="DFFFD943"/>
    <w:rsid w:val="E139D8DA"/>
    <w:rsid w:val="E1F2D119"/>
    <w:rsid w:val="E2FA5ED4"/>
    <w:rsid w:val="E59BEE6B"/>
    <w:rsid w:val="E5CFA72E"/>
    <w:rsid w:val="E6CBF868"/>
    <w:rsid w:val="E6F5BD18"/>
    <w:rsid w:val="E7DFE993"/>
    <w:rsid w:val="E7E08696"/>
    <w:rsid w:val="E7EB8AC1"/>
    <w:rsid w:val="E7F246D2"/>
    <w:rsid w:val="E87F9339"/>
    <w:rsid w:val="E975BE58"/>
    <w:rsid w:val="EA77F134"/>
    <w:rsid w:val="EB3F1705"/>
    <w:rsid w:val="EBBD3160"/>
    <w:rsid w:val="EBDD50C5"/>
    <w:rsid w:val="EBDFF7B9"/>
    <w:rsid w:val="EBFD2C17"/>
    <w:rsid w:val="EC6EF56C"/>
    <w:rsid w:val="EC9E8431"/>
    <w:rsid w:val="ED1E5A5A"/>
    <w:rsid w:val="ED7F4ED1"/>
    <w:rsid w:val="ED7F85DD"/>
    <w:rsid w:val="EDFFF48B"/>
    <w:rsid w:val="EE7F5D5E"/>
    <w:rsid w:val="EEB59819"/>
    <w:rsid w:val="EEF3D20F"/>
    <w:rsid w:val="EEF6E158"/>
    <w:rsid w:val="EEFE83B1"/>
    <w:rsid w:val="EEFF58D3"/>
    <w:rsid w:val="EEFF84F8"/>
    <w:rsid w:val="EF7E286B"/>
    <w:rsid w:val="EFBB1D60"/>
    <w:rsid w:val="EFD3666A"/>
    <w:rsid w:val="EFE9AF7E"/>
    <w:rsid w:val="EFEDC9E3"/>
    <w:rsid w:val="EFFA56FF"/>
    <w:rsid w:val="EFFD88CE"/>
    <w:rsid w:val="F1F98B5E"/>
    <w:rsid w:val="F1FE3D2E"/>
    <w:rsid w:val="F2E753CC"/>
    <w:rsid w:val="F2FF84B4"/>
    <w:rsid w:val="F37BCC8B"/>
    <w:rsid w:val="F3FF8887"/>
    <w:rsid w:val="F47F3DE5"/>
    <w:rsid w:val="F5BB523F"/>
    <w:rsid w:val="F5F39D18"/>
    <w:rsid w:val="F5FEC449"/>
    <w:rsid w:val="F66E1952"/>
    <w:rsid w:val="F6BFF0AC"/>
    <w:rsid w:val="F6EE271F"/>
    <w:rsid w:val="F6FBC668"/>
    <w:rsid w:val="F6FF0E15"/>
    <w:rsid w:val="F6FFB714"/>
    <w:rsid w:val="F7299A62"/>
    <w:rsid w:val="F767BA2B"/>
    <w:rsid w:val="F76E3C22"/>
    <w:rsid w:val="F77FBE07"/>
    <w:rsid w:val="F783C269"/>
    <w:rsid w:val="F7BFCEBD"/>
    <w:rsid w:val="F7D7B157"/>
    <w:rsid w:val="F7DE6F28"/>
    <w:rsid w:val="F7EED92B"/>
    <w:rsid w:val="F7F3A904"/>
    <w:rsid w:val="F7F6A5E3"/>
    <w:rsid w:val="F7FC2CD1"/>
    <w:rsid w:val="F7FF8066"/>
    <w:rsid w:val="F7FFAADD"/>
    <w:rsid w:val="F87DAD96"/>
    <w:rsid w:val="F89D2185"/>
    <w:rsid w:val="F8F7E096"/>
    <w:rsid w:val="F9BF2721"/>
    <w:rsid w:val="F9DA525A"/>
    <w:rsid w:val="FA7604FD"/>
    <w:rsid w:val="FADF8305"/>
    <w:rsid w:val="FAFF59E5"/>
    <w:rsid w:val="FAFFD3AC"/>
    <w:rsid w:val="FB526F7A"/>
    <w:rsid w:val="FB77F96F"/>
    <w:rsid w:val="FB97B8E5"/>
    <w:rsid w:val="FB99A5C8"/>
    <w:rsid w:val="FBBF0913"/>
    <w:rsid w:val="FBBF2235"/>
    <w:rsid w:val="FBD61AA7"/>
    <w:rsid w:val="FBDBC98E"/>
    <w:rsid w:val="FBE5B2E1"/>
    <w:rsid w:val="FBE6F9A2"/>
    <w:rsid w:val="FBEF464E"/>
    <w:rsid w:val="FBF1B2BA"/>
    <w:rsid w:val="FBF6B9EA"/>
    <w:rsid w:val="FC4C164A"/>
    <w:rsid w:val="FC7F23A0"/>
    <w:rsid w:val="FCBF7A69"/>
    <w:rsid w:val="FCBFAEE7"/>
    <w:rsid w:val="FCF9B724"/>
    <w:rsid w:val="FD3B885C"/>
    <w:rsid w:val="FD5D91C7"/>
    <w:rsid w:val="FDAA4EF9"/>
    <w:rsid w:val="FDAB5AC7"/>
    <w:rsid w:val="FDE9C83F"/>
    <w:rsid w:val="FDF7C8CC"/>
    <w:rsid w:val="FE352BFC"/>
    <w:rsid w:val="FE3829FC"/>
    <w:rsid w:val="FEBF8725"/>
    <w:rsid w:val="FECF0AB5"/>
    <w:rsid w:val="FED7F18F"/>
    <w:rsid w:val="FEDD5F54"/>
    <w:rsid w:val="FEDF63EF"/>
    <w:rsid w:val="FEDFD7EF"/>
    <w:rsid w:val="FEECBDD8"/>
    <w:rsid w:val="FEF782F6"/>
    <w:rsid w:val="FEF7AAAE"/>
    <w:rsid w:val="FEFE7DF7"/>
    <w:rsid w:val="FEFF9CB0"/>
    <w:rsid w:val="FF3B7CCE"/>
    <w:rsid w:val="FF79C1D6"/>
    <w:rsid w:val="FF7DD3ED"/>
    <w:rsid w:val="FF9F2462"/>
    <w:rsid w:val="FFA3F6B4"/>
    <w:rsid w:val="FFAD612D"/>
    <w:rsid w:val="FFBB912A"/>
    <w:rsid w:val="FFBD0B31"/>
    <w:rsid w:val="FFBD7F0C"/>
    <w:rsid w:val="FFD5DB46"/>
    <w:rsid w:val="FFD7DAD7"/>
    <w:rsid w:val="FFDBE648"/>
    <w:rsid w:val="FFDF7219"/>
    <w:rsid w:val="FFDFE374"/>
    <w:rsid w:val="FFF19044"/>
    <w:rsid w:val="FFF74D3C"/>
    <w:rsid w:val="FFF98B4B"/>
    <w:rsid w:val="FFFA1B81"/>
    <w:rsid w:val="FFFB6A2D"/>
    <w:rsid w:val="FFFD94A9"/>
    <w:rsid w:val="FFFE66A8"/>
    <w:rsid w:val="FFFF2DC8"/>
    <w:rsid w:val="FFFF4C94"/>
    <w:rsid w:val="FFFF6947"/>
    <w:rsid w:val="FFFF9981"/>
    <w:rsid w:val="FFFFD82F"/>
    <w:rsid w:val="FFFFF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25"/>
    <w:qFormat/>
    <w:uiPriority w:val="0"/>
    <w:pPr>
      <w:keepNext/>
      <w:keepLines/>
      <w:spacing w:before="260" w:after="260" w:line="416" w:lineRule="auto"/>
      <w:outlineLvl w:val="1"/>
    </w:pPr>
    <w:rPr>
      <w:rFonts w:ascii="Cambria" w:hAnsi="Cambria"/>
      <w:b/>
      <w:bCs/>
      <w:kern w:val="0"/>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pacing w:line="410" w:lineRule="atLeast"/>
      <w:ind w:firstLine="420"/>
      <w:jc w:val="left"/>
    </w:pPr>
    <w:rPr>
      <w:rFonts w:ascii="宋体"/>
      <w:kern w:val="0"/>
      <w:sz w:val="24"/>
      <w:szCs w:val="20"/>
    </w:rPr>
  </w:style>
  <w:style w:type="paragraph" w:styleId="5">
    <w:name w:val="annotation text"/>
    <w:basedOn w:val="1"/>
    <w:link w:val="37"/>
    <w:semiHidden/>
    <w:unhideWhenUsed/>
    <w:qFormat/>
    <w:uiPriority w:val="99"/>
    <w:pPr>
      <w:jc w:val="left"/>
    </w:pPr>
  </w:style>
  <w:style w:type="paragraph" w:styleId="6">
    <w:name w:val="Body Text"/>
    <w:basedOn w:val="1"/>
    <w:next w:val="7"/>
    <w:qFormat/>
    <w:uiPriority w:val="0"/>
    <w:pPr>
      <w:snapToGrid w:val="0"/>
      <w:spacing w:line="520" w:lineRule="exact"/>
      <w:jc w:val="center"/>
    </w:pPr>
    <w:rPr>
      <w:rFonts w:ascii="华文中宋" w:hAnsi="华文中宋" w:eastAsia="华文中宋"/>
      <w:snapToGrid w:val="0"/>
      <w:sz w:val="30"/>
      <w:szCs w:val="44"/>
    </w:rPr>
  </w:style>
  <w:style w:type="paragraph" w:styleId="7">
    <w:name w:val="toc 5"/>
    <w:basedOn w:val="1"/>
    <w:next w:val="1"/>
    <w:qFormat/>
    <w:uiPriority w:val="0"/>
    <w:pPr>
      <w:ind w:left="1680" w:leftChars="800"/>
    </w:pPr>
  </w:style>
  <w:style w:type="paragraph" w:styleId="8">
    <w:name w:val="Body Text Indent"/>
    <w:basedOn w:val="1"/>
    <w:qFormat/>
    <w:uiPriority w:val="0"/>
    <w:pPr>
      <w:spacing w:line="700" w:lineRule="exact"/>
      <w:ind w:left="960"/>
    </w:pPr>
    <w:rPr>
      <w:sz w:val="44"/>
    </w:rPr>
  </w:style>
  <w:style w:type="paragraph" w:styleId="9">
    <w:name w:val="Balloon Text"/>
    <w:basedOn w:val="1"/>
    <w:link w:val="36"/>
    <w:semiHidden/>
    <w:unhideWhenUsed/>
    <w:qFormat/>
    <w:uiPriority w:val="99"/>
    <w:rPr>
      <w:sz w:val="18"/>
      <w:szCs w:val="18"/>
    </w:rPr>
  </w:style>
  <w:style w:type="paragraph" w:styleId="10">
    <w:name w:val="footer"/>
    <w:basedOn w:val="1"/>
    <w:link w:val="27"/>
    <w:unhideWhenUsed/>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9"/>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index 1"/>
    <w:basedOn w:val="1"/>
    <w:next w:val="1"/>
    <w:semiHidden/>
    <w:qFormat/>
    <w:uiPriority w:val="0"/>
    <w:pPr>
      <w:spacing w:line="220" w:lineRule="exact"/>
      <w:jc w:val="center"/>
    </w:pPr>
    <w:rPr>
      <w:rFonts w:ascii="仿宋_GB2312" w:eastAsia="仿宋_GB2312"/>
      <w:szCs w:val="21"/>
    </w:rPr>
  </w:style>
  <w:style w:type="paragraph" w:styleId="13">
    <w:name w:val="annotation subject"/>
    <w:basedOn w:val="5"/>
    <w:next w:val="5"/>
    <w:link w:val="38"/>
    <w:semiHidden/>
    <w:unhideWhenUsed/>
    <w:qFormat/>
    <w:uiPriority w:val="99"/>
    <w:rPr>
      <w:b/>
      <w:bCs/>
    </w:rPr>
  </w:style>
  <w:style w:type="paragraph" w:styleId="14">
    <w:name w:val="Body Text First Indent"/>
    <w:basedOn w:val="6"/>
    <w:qFormat/>
    <w:uiPriority w:val="0"/>
    <w:pPr>
      <w:spacing w:line="360" w:lineRule="auto"/>
      <w:ind w:firstLine="420"/>
    </w:pPr>
    <w:rPr>
      <w:rFonts w:ascii="宋体" w:hAnsi="宋体"/>
      <w:sz w:val="24"/>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character" w:styleId="19">
    <w:name w:val="page number"/>
    <w:qFormat/>
    <w:uiPriority w:val="0"/>
  </w:style>
  <w:style w:type="character" w:styleId="20">
    <w:name w:val="Hyperlink"/>
    <w:qFormat/>
    <w:uiPriority w:val="0"/>
    <w:rPr>
      <w:color w:val="0000FF"/>
      <w:u w:val="single"/>
    </w:rPr>
  </w:style>
  <w:style w:type="character" w:styleId="21">
    <w:name w:val="annotation reference"/>
    <w:basedOn w:val="17"/>
    <w:semiHidden/>
    <w:unhideWhenUsed/>
    <w:qFormat/>
    <w:uiPriority w:val="99"/>
    <w:rPr>
      <w:sz w:val="21"/>
      <w:szCs w:val="21"/>
    </w:rPr>
  </w:style>
  <w:style w:type="character" w:customStyle="1" w:styleId="22">
    <w:name w:val="标题 2 字符"/>
    <w:basedOn w:val="17"/>
    <w:semiHidden/>
    <w:qFormat/>
    <w:uiPriority w:val="9"/>
    <w:rPr>
      <w:rFonts w:asciiTheme="majorHAnsi" w:hAnsiTheme="majorHAnsi" w:eastAsiaTheme="majorEastAsia" w:cstheme="majorBidi"/>
      <w:color w:val="2E75B6" w:themeColor="accent1" w:themeShade="BF"/>
      <w:kern w:val="2"/>
      <w:sz w:val="26"/>
      <w:szCs w:val="26"/>
    </w:rPr>
  </w:style>
  <w:style w:type="character" w:customStyle="1" w:styleId="23">
    <w:name w:val="标题 1 字符"/>
    <w:basedOn w:val="17"/>
    <w:qFormat/>
    <w:uiPriority w:val="9"/>
    <w:rPr>
      <w:rFonts w:asciiTheme="majorHAnsi" w:hAnsiTheme="majorHAnsi" w:eastAsiaTheme="majorEastAsia" w:cstheme="majorBidi"/>
      <w:color w:val="2E75B6" w:themeColor="accent1" w:themeShade="BF"/>
      <w:kern w:val="2"/>
      <w:sz w:val="32"/>
      <w:szCs w:val="32"/>
    </w:rPr>
  </w:style>
  <w:style w:type="character" w:customStyle="1" w:styleId="24">
    <w:name w:val="标题 1 Char"/>
    <w:link w:val="2"/>
    <w:qFormat/>
    <w:uiPriority w:val="0"/>
    <w:rPr>
      <w:rFonts w:ascii="Times New Roman" w:hAnsi="Times New Roman" w:eastAsia="宋体" w:cs="Times New Roman"/>
      <w:b/>
      <w:bCs/>
      <w:kern w:val="44"/>
      <w:sz w:val="44"/>
      <w:szCs w:val="44"/>
    </w:rPr>
  </w:style>
  <w:style w:type="character" w:customStyle="1" w:styleId="25">
    <w:name w:val="标题 2 Char"/>
    <w:link w:val="3"/>
    <w:qFormat/>
    <w:uiPriority w:val="0"/>
    <w:rPr>
      <w:rFonts w:ascii="Cambria" w:hAnsi="Cambria" w:eastAsia="宋体" w:cs="Times New Roman"/>
      <w:b/>
      <w:bCs/>
      <w:sz w:val="32"/>
      <w:szCs w:val="32"/>
    </w:rPr>
  </w:style>
  <w:style w:type="character" w:customStyle="1" w:styleId="26">
    <w:name w:val="页脚 字符"/>
    <w:basedOn w:val="17"/>
    <w:semiHidden/>
    <w:qFormat/>
    <w:uiPriority w:val="99"/>
    <w:rPr>
      <w:rFonts w:ascii="Times New Roman" w:hAnsi="Times New Roman" w:eastAsia="宋体" w:cs="Times New Roman"/>
      <w:kern w:val="2"/>
      <w:sz w:val="21"/>
      <w:szCs w:val="24"/>
    </w:rPr>
  </w:style>
  <w:style w:type="character" w:customStyle="1" w:styleId="27">
    <w:name w:val="页脚 Char"/>
    <w:link w:val="10"/>
    <w:qFormat/>
    <w:uiPriority w:val="99"/>
    <w:rPr>
      <w:rFonts w:ascii="Calibri" w:hAnsi="Calibri" w:eastAsia="宋体" w:cs="Times New Roman"/>
      <w:sz w:val="18"/>
      <w:szCs w:val="18"/>
    </w:rPr>
  </w:style>
  <w:style w:type="character" w:customStyle="1" w:styleId="28">
    <w:name w:val="页眉 字符"/>
    <w:basedOn w:val="17"/>
    <w:semiHidden/>
    <w:qFormat/>
    <w:uiPriority w:val="99"/>
    <w:rPr>
      <w:rFonts w:ascii="Times New Roman" w:hAnsi="Times New Roman" w:eastAsia="宋体" w:cs="Times New Roman"/>
      <w:kern w:val="2"/>
      <w:sz w:val="21"/>
      <w:szCs w:val="24"/>
    </w:rPr>
  </w:style>
  <w:style w:type="character" w:customStyle="1" w:styleId="29">
    <w:name w:val="页眉 Char"/>
    <w:link w:val="11"/>
    <w:qFormat/>
    <w:uiPriority w:val="99"/>
    <w:rPr>
      <w:rFonts w:ascii="Calibri" w:hAnsi="Calibri" w:eastAsia="宋体" w:cs="Times New Roman"/>
      <w:sz w:val="18"/>
      <w:szCs w:val="18"/>
    </w:rPr>
  </w:style>
  <w:style w:type="paragraph" w:customStyle="1" w:styleId="30">
    <w:name w:val="Blockquote"/>
    <w:basedOn w:val="1"/>
    <w:qFormat/>
    <w:uiPriority w:val="0"/>
    <w:pPr>
      <w:autoSpaceDE w:val="0"/>
      <w:autoSpaceDN w:val="0"/>
      <w:adjustRightInd w:val="0"/>
      <w:spacing w:before="100" w:after="100"/>
      <w:ind w:left="360" w:right="360"/>
      <w:jc w:val="left"/>
    </w:pPr>
    <w:rPr>
      <w:kern w:val="0"/>
      <w:sz w:val="24"/>
      <w:szCs w:val="20"/>
    </w:rPr>
  </w:style>
  <w:style w:type="paragraph" w:styleId="31">
    <w:name w:val="List Paragraph"/>
    <w:basedOn w:val="1"/>
    <w:qFormat/>
    <w:uiPriority w:val="34"/>
    <w:pPr>
      <w:ind w:left="720"/>
      <w:contextualSpacing/>
    </w:pPr>
  </w:style>
  <w:style w:type="character" w:customStyle="1" w:styleId="32">
    <w:name w:val="font21"/>
    <w:qFormat/>
    <w:uiPriority w:val="0"/>
    <w:rPr>
      <w:rFonts w:hint="eastAsia" w:ascii="宋体" w:hAnsi="宋体" w:eastAsia="宋体" w:cs="宋体"/>
      <w:color w:val="000000"/>
      <w:sz w:val="22"/>
      <w:szCs w:val="22"/>
      <w:u w:val="none"/>
    </w:rPr>
  </w:style>
  <w:style w:type="character" w:customStyle="1" w:styleId="33">
    <w:name w:val="日期1"/>
    <w:basedOn w:val="17"/>
    <w:qFormat/>
    <w:uiPriority w:val="0"/>
  </w:style>
  <w:style w:type="paragraph" w:styleId="34">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character" w:customStyle="1" w:styleId="36">
    <w:name w:val="批注框文本 Char"/>
    <w:basedOn w:val="17"/>
    <w:link w:val="9"/>
    <w:semiHidden/>
    <w:qFormat/>
    <w:uiPriority w:val="99"/>
    <w:rPr>
      <w:kern w:val="2"/>
      <w:sz w:val="18"/>
      <w:szCs w:val="18"/>
    </w:rPr>
  </w:style>
  <w:style w:type="character" w:customStyle="1" w:styleId="37">
    <w:name w:val="批注文字 Char"/>
    <w:basedOn w:val="17"/>
    <w:link w:val="5"/>
    <w:semiHidden/>
    <w:qFormat/>
    <w:uiPriority w:val="99"/>
    <w:rPr>
      <w:kern w:val="2"/>
      <w:sz w:val="21"/>
      <w:szCs w:val="24"/>
    </w:rPr>
  </w:style>
  <w:style w:type="character" w:customStyle="1" w:styleId="38">
    <w:name w:val="批注主题 Char"/>
    <w:basedOn w:val="37"/>
    <w:link w:val="13"/>
    <w:semiHidden/>
    <w:qFormat/>
    <w:uiPriority w:val="99"/>
    <w:rPr>
      <w:b/>
      <w:bCs/>
      <w:kern w:val="2"/>
      <w:sz w:val="21"/>
      <w:szCs w:val="24"/>
    </w:rPr>
  </w:style>
  <w:style w:type="paragraph" w:customStyle="1" w:styleId="39">
    <w:name w:val="图例"/>
    <w:basedOn w:val="1"/>
    <w:qFormat/>
    <w:uiPriority w:val="0"/>
    <w:pPr>
      <w:spacing w:before="120" w:beforeLines="0" w:beforeAutospacing="0" w:after="120" w:afterLines="0" w:afterAutospacing="0" w:line="360" w:lineRule="auto"/>
      <w:jc w:val="center"/>
    </w:pPr>
    <w:rPr>
      <w:rFonts w:eastAsia="仿宋_GB2312"/>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20</Pages>
  <Words>12837</Words>
  <Characters>14134</Characters>
  <Lines>52</Lines>
  <Paragraphs>14</Paragraphs>
  <TotalTime>9</TotalTime>
  <ScaleCrop>false</ScaleCrop>
  <LinksUpToDate>false</LinksUpToDate>
  <CharactersWithSpaces>14392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2022-03-03T22:13:00Z</dcterms:created>
  <dc:creator>PC</dc:creator>
  <cp:lastModifiedBy>张航</cp:lastModifiedBy>
  <cp:lastPrinted>2022-03-14T09:30:00Z</cp:lastPrinted>
  <dcterms:modified xsi:type="dcterms:W3CDTF">2025-08-19T02:31:27Z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3200734B16624FCD276337659B3F52B0</vt:lpwstr>
  </property>
  <property fmtid="{D5CDD505-2E9C-101B-9397-08002B2CF9AE}" pid="4" name="KSOTemplateDocerSaveRecord">
    <vt:lpwstr>eyJoZGlkIjoiZmQ0MTJhMDM0YTBmMjg2YTliZTQyYjg3ZGJjZDRhOTYiLCJ1c2VySWQiOiIxNTg4NzgyNzMyIn0=</vt:lpwstr>
  </property>
</Properties>
</file>